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rPr/>
      </w:pPr>
      <w:r w:rsidDel="00000000" w:rsidR="00000000" w:rsidRPr="00000000">
        <w:rPr>
          <w:rFonts w:ascii="Calibri" w:cs="Calibri" w:eastAsia="Calibri" w:hAnsi="Calibri"/>
          <w:b w:val="1"/>
          <w:bCs w:val="1"/>
          <w:color w:val="1f3864"/>
          <w:sz w:val="44"/>
          <w:szCs w:val="44"/>
          <w:rtl w:val="0"/>
        </w:rPr>
        <w:t xml:space="preserve">Desktop C-arm LINAC mock-up: build guide</w:t>
      </w:r>
      <w:r w:rsidDel="00000000" w:rsidR="00000000" w:rsidRPr="00000000">
        <w:rPr>
          <w:rtl w:val="0"/>
        </w:rPr>
      </w:r>
    </w:p>
    <w:p w:rsidR="00000000" w:rsidDel="00000000" w:rsidP="00000000" w:rsidRDefault="00000000" w:rsidRPr="00000000" w14:paraId="00000002">
      <w:pPr>
        <w:spacing w:after="120" w:before="60" w:line="280" w:lineRule="auto"/>
        <w:rPr/>
      </w:pPr>
      <w:r w:rsidDel="00000000" w:rsidR="00000000" w:rsidRPr="00000000">
        <w:rPr>
          <w:rtl w:val="0"/>
        </w:rPr>
        <w:t xml:space="preserve">A 1:4 scale, TrueBeam-style teaching model of a LINAC (linear accelerator). It uses a light "beam", an LCD (liquid crystal display) as the MLC (multileaf collimator), and a heart-shaped target that appears where the light cones of an arc overlap.</w:t>
      </w:r>
    </w:p>
    <w:p w:rsidR="00000000" w:rsidDel="00000000" w:rsidP="00000000" w:rsidRDefault="00000000" w:rsidRPr="00000000" w14:paraId="00000003">
      <w:pPr>
        <w:pBdr>
          <w:left w:color="d9a441" w:space="8" w:sz="18" w:val="single"/>
        </w:pBdr>
        <w:shd w:fill="fbf3e4" w:val="clear"/>
        <w:spacing w:after="200" w:before="120" w:line="280" w:lineRule="auto"/>
        <w:ind w:left="170" w:right="170" w:firstLine="0"/>
        <w:rPr/>
      </w:pPr>
      <w:r w:rsidDel="00000000" w:rsidR="00000000" w:rsidRPr="00000000">
        <w:rPr>
          <w:i w:val="1"/>
          <w:iCs w:val="1"/>
          <w:rtl w:val="0"/>
        </w:rPr>
        <w:t xml:space="preserve">This is an educational model, not a medical device. Prices and specifications below are rough estimates, so check datasheets before buying. If you replay real treatment plans, use phantom plans or properly anonymised ones, never identifiable patient data.</w:t>
      </w:r>
      <w:r w:rsidDel="00000000" w:rsidR="00000000" w:rsidRPr="00000000">
        <w:rPr>
          <w:rtl w:val="0"/>
        </w:rPr>
      </w:r>
    </w:p>
    <w:p w:rsidR="00000000" w:rsidDel="00000000" w:rsidP="00000000" w:rsidRDefault="00000000" w:rsidRPr="00000000" w14:paraId="00000004">
      <w:pPr>
        <w:pStyle w:val="Heading1"/>
        <w:pBdr>
          <w:bottom w:color="bfbfbf" w:space="4" w:sz="6" w:val="single"/>
        </w:pBdr>
        <w:spacing w:after="120" w:before="320" w:lineRule="auto"/>
        <w:rPr/>
      </w:pPr>
      <w:r w:rsidDel="00000000" w:rsidR="00000000" w:rsidRPr="00000000">
        <w:rPr>
          <w:rtl w:val="0"/>
        </w:rPr>
        <w:t xml:space="preserve">0. Design choices</w:t>
      </w:r>
    </w:p>
    <w:p w:rsidR="00000000" w:rsidDel="00000000" w:rsidP="00000000" w:rsidRDefault="00000000" w:rsidRPr="00000000" w14:paraId="00000005">
      <w:pPr>
        <w:pStyle w:val="Heading2"/>
        <w:spacing w:after="90" w:before="240" w:lineRule="auto"/>
        <w:rPr/>
      </w:pPr>
      <w:r w:rsidDel="00000000" w:rsidR="00000000" w:rsidRPr="00000000">
        <w:rPr>
          <w:rtl w:val="0"/>
        </w:rPr>
        <w:t xml:space="preserve">Scale</w:t>
      </w:r>
    </w:p>
    <w:tbl>
      <w:tblPr>
        <w:tblStyle w:val="Table1"/>
        <w:tblW w:w="9638.0" w:type="dxa"/>
        <w:jc w:val="left"/>
        <w:tblBorders>
          <w:top w:color="bfbfbf" w:space="0" w:sz="4" w:val="single"/>
          <w:left w:color="bfbfbf" w:space="0" w:sz="4" w:val="single"/>
          <w:bottom w:color="bfbfbf" w:space="0" w:sz="4" w:val="single"/>
          <w:right w:color="bfbfbf" w:space="0" w:sz="4" w:val="single"/>
          <w:insideH w:color="000000" w:space="0" w:sz="4" w:val="single"/>
          <w:insideV w:color="000000" w:space="0" w:sz="4" w:val="single"/>
        </w:tblBorders>
        <w:tblLayout w:type="fixed"/>
        <w:tblLook w:val="0000"/>
      </w:tblPr>
      <w:tblGrid>
        <w:gridCol w:w="2595"/>
        <w:gridCol w:w="2002"/>
        <w:gridCol w:w="5041"/>
        <w:tblGridChange w:id="0">
          <w:tblGrid>
            <w:gridCol w:w="2595"/>
            <w:gridCol w:w="2002"/>
            <w:gridCol w:w="5041"/>
          </w:tblGrid>
        </w:tblGridChange>
      </w:tblGrid>
      <w:tr>
        <w:trPr>
          <w:cantSplit w:val="0"/>
          <w:tblHeader w:val="1"/>
        </w:trPr>
        <w:tc>
          <w:tcPr>
            <w:shd w:fill="e7edf4" w:val="clear"/>
            <w:tcMar>
              <w:top w:w="60.0" w:type="dxa"/>
              <w:left w:w="110.0" w:type="dxa"/>
              <w:bottom w:w="60.0" w:type="dxa"/>
              <w:right w:w="110.0" w:type="dxa"/>
            </w:tcMar>
          </w:tcPr>
          <w:p w:rsidR="00000000" w:rsidDel="00000000" w:rsidP="00000000" w:rsidRDefault="00000000" w:rsidRPr="00000000" w14:paraId="00000006">
            <w:pPr>
              <w:spacing w:after="20" w:before="20" w:lineRule="auto"/>
              <w:rPr/>
            </w:pPr>
            <w:r w:rsidDel="00000000" w:rsidR="00000000" w:rsidRPr="00000000">
              <w:rPr>
                <w:b w:val="1"/>
                <w:bCs w:val="1"/>
                <w:color w:val="1f3864"/>
                <w:rtl w:val="0"/>
              </w:rPr>
              <w:t xml:space="preserve">Quantity</w:t>
            </w:r>
            <w:r w:rsidDel="00000000" w:rsidR="00000000" w:rsidRPr="00000000">
              <w:rPr>
                <w:rtl w:val="0"/>
              </w:rPr>
            </w:r>
          </w:p>
        </w:tc>
        <w:tc>
          <w:tcPr>
            <w:shd w:fill="e7edf4" w:val="clear"/>
            <w:tcMar>
              <w:top w:w="60.0" w:type="dxa"/>
              <w:left w:w="110.0" w:type="dxa"/>
              <w:bottom w:w="60.0" w:type="dxa"/>
              <w:right w:w="110.0" w:type="dxa"/>
            </w:tcMar>
          </w:tcPr>
          <w:p w:rsidR="00000000" w:rsidDel="00000000" w:rsidP="00000000" w:rsidRDefault="00000000" w:rsidRPr="00000000" w14:paraId="00000007">
            <w:pPr>
              <w:spacing w:after="20" w:before="20" w:lineRule="auto"/>
              <w:rPr/>
            </w:pPr>
            <w:r w:rsidDel="00000000" w:rsidR="00000000" w:rsidRPr="00000000">
              <w:rPr>
                <w:b w:val="1"/>
                <w:bCs w:val="1"/>
                <w:color w:val="1f3864"/>
                <w:rtl w:val="0"/>
              </w:rPr>
              <w:t xml:space="preserve">Clinical (TrueBeam-class)</w:t>
            </w:r>
            <w:r w:rsidDel="00000000" w:rsidR="00000000" w:rsidRPr="00000000">
              <w:rPr>
                <w:rtl w:val="0"/>
              </w:rPr>
            </w:r>
          </w:p>
        </w:tc>
        <w:tc>
          <w:tcPr>
            <w:shd w:fill="e7edf4" w:val="clear"/>
            <w:tcMar>
              <w:top w:w="60.0" w:type="dxa"/>
              <w:left w:w="110.0" w:type="dxa"/>
              <w:bottom w:w="60.0" w:type="dxa"/>
              <w:right w:w="110.0" w:type="dxa"/>
            </w:tcMar>
          </w:tcPr>
          <w:p w:rsidR="00000000" w:rsidDel="00000000" w:rsidP="00000000" w:rsidRDefault="00000000" w:rsidRPr="00000000" w14:paraId="00000008">
            <w:pPr>
              <w:spacing w:after="20" w:before="20" w:lineRule="auto"/>
              <w:rPr/>
            </w:pPr>
            <w:r w:rsidDel="00000000" w:rsidR="00000000" w:rsidRPr="00000000">
              <w:rPr>
                <w:b w:val="1"/>
                <w:bCs w:val="1"/>
                <w:color w:val="1f3864"/>
                <w:rtl w:val="0"/>
              </w:rPr>
              <w:t xml:space="preserve">Mock-up (1:4)</w:t>
            </w:r>
            <w:r w:rsidDel="00000000" w:rsidR="00000000" w:rsidRPr="00000000">
              <w:rPr>
                <w:rtl w:val="0"/>
              </w:rPr>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09">
            <w:pPr>
              <w:spacing w:after="20" w:before="20" w:lineRule="auto"/>
              <w:rPr/>
            </w:pPr>
            <w:r w:rsidDel="00000000" w:rsidR="00000000" w:rsidRPr="00000000">
              <w:rPr>
                <w:rtl w:val="0"/>
              </w:rPr>
              <w:t xml:space="preserve">SAD (source-to-axis distance)</w:t>
            </w:r>
          </w:p>
        </w:tc>
        <w:tc>
          <w:tcPr>
            <w:tcMar>
              <w:top w:w="60.0" w:type="dxa"/>
              <w:left w:w="110.0" w:type="dxa"/>
              <w:bottom w:w="60.0" w:type="dxa"/>
              <w:right w:w="110.0" w:type="dxa"/>
            </w:tcMar>
          </w:tcPr>
          <w:p w:rsidR="00000000" w:rsidDel="00000000" w:rsidP="00000000" w:rsidRDefault="00000000" w:rsidRPr="00000000" w14:paraId="0000000A">
            <w:pPr>
              <w:spacing w:after="20" w:before="20" w:lineRule="auto"/>
              <w:rPr/>
            </w:pPr>
            <w:r w:rsidDel="00000000" w:rsidR="00000000" w:rsidRPr="00000000">
              <w:rPr>
                <w:rtl w:val="0"/>
              </w:rPr>
              <w:t xml:space="preserve">1000 mm</w:t>
            </w:r>
          </w:p>
        </w:tc>
        <w:tc>
          <w:tcPr>
            <w:tcMar>
              <w:top w:w="60.0" w:type="dxa"/>
              <w:left w:w="110.0" w:type="dxa"/>
              <w:bottom w:w="60.0" w:type="dxa"/>
              <w:right w:w="110.0" w:type="dxa"/>
            </w:tcMar>
          </w:tcPr>
          <w:p w:rsidR="00000000" w:rsidDel="00000000" w:rsidP="00000000" w:rsidRDefault="00000000" w:rsidRPr="00000000" w14:paraId="0000000B">
            <w:pPr>
              <w:spacing w:after="20" w:before="20" w:lineRule="auto"/>
              <w:rPr/>
            </w:pPr>
            <w:r w:rsidDel="00000000" w:rsidR="00000000" w:rsidRPr="00000000">
              <w:rPr>
                <w:b w:val="1"/>
                <w:bCs w:val="1"/>
                <w:rtl w:val="0"/>
              </w:rPr>
              <w:t xml:space="preserve">250 mm</w:t>
            </w:r>
            <w:r w:rsidDel="00000000" w:rsidR="00000000" w:rsidRPr="00000000">
              <w:rPr>
                <w:rtl w:val="0"/>
              </w:rPr>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0C">
            <w:pPr>
              <w:spacing w:after="20" w:before="20" w:lineRule="auto"/>
              <w:rPr/>
            </w:pPr>
            <w:r w:rsidDel="00000000" w:rsidR="00000000" w:rsidRPr="00000000">
              <w:rPr>
                <w:rtl w:val="0"/>
              </w:rPr>
              <w:t xml:space="preserve">Isocentre height</w:t>
            </w:r>
          </w:p>
        </w:tc>
        <w:tc>
          <w:tcPr>
            <w:tcMar>
              <w:top w:w="60.0" w:type="dxa"/>
              <w:left w:w="110.0" w:type="dxa"/>
              <w:bottom w:w="60.0" w:type="dxa"/>
              <w:right w:w="110.0" w:type="dxa"/>
            </w:tcMar>
          </w:tcPr>
          <w:p w:rsidR="00000000" w:rsidDel="00000000" w:rsidP="00000000" w:rsidRDefault="00000000" w:rsidRPr="00000000" w14:paraId="0000000D">
            <w:pPr>
              <w:spacing w:after="20" w:before="20" w:lineRule="auto"/>
              <w:rPr/>
            </w:pPr>
            <w:r w:rsidDel="00000000" w:rsidR="00000000" w:rsidRPr="00000000">
              <w:rPr>
                <w:rtl w:val="0"/>
              </w:rPr>
              <w:t xml:space="preserve">about 1.3 m above the floor</w:t>
            </w:r>
          </w:p>
        </w:tc>
        <w:tc>
          <w:tcPr>
            <w:tcMar>
              <w:top w:w="60.0" w:type="dxa"/>
              <w:left w:w="110.0" w:type="dxa"/>
              <w:bottom w:w="60.0" w:type="dxa"/>
              <w:right w:w="110.0" w:type="dxa"/>
            </w:tcMar>
          </w:tcPr>
          <w:p w:rsidR="00000000" w:rsidDel="00000000" w:rsidP="00000000" w:rsidRDefault="00000000" w:rsidRPr="00000000" w14:paraId="0000000E">
            <w:pPr>
              <w:spacing w:after="20" w:before="20" w:lineRule="auto"/>
              <w:rPr/>
            </w:pPr>
            <w:r w:rsidDel="00000000" w:rsidR="00000000" w:rsidRPr="00000000">
              <w:rPr>
                <w:rtl w:val="0"/>
              </w:rPr>
              <w:t xml:space="preserve">about 325 mm above the base</w:t>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0F">
            <w:pPr>
              <w:spacing w:after="20" w:before="20" w:lineRule="auto"/>
              <w:rPr/>
            </w:pPr>
            <w:r w:rsidDel="00000000" w:rsidR="00000000" w:rsidRPr="00000000">
              <w:rPr>
                <w:rtl w:val="0"/>
              </w:rPr>
              <w:t xml:space="preserve">Source to MLC</w:t>
            </w:r>
          </w:p>
        </w:tc>
        <w:tc>
          <w:tcPr>
            <w:tcMar>
              <w:top w:w="60.0" w:type="dxa"/>
              <w:left w:w="110.0" w:type="dxa"/>
              <w:bottom w:w="60.0" w:type="dxa"/>
              <w:right w:w="110.0" w:type="dxa"/>
            </w:tcMar>
          </w:tcPr>
          <w:p w:rsidR="00000000" w:rsidDel="00000000" w:rsidP="00000000" w:rsidRDefault="00000000" w:rsidRPr="00000000" w14:paraId="00000010">
            <w:pPr>
              <w:spacing w:after="20" w:before="20" w:lineRule="auto"/>
              <w:rPr/>
            </w:pPr>
            <w:r w:rsidDel="00000000" w:rsidR="00000000" w:rsidRPr="00000000">
              <w:rPr>
                <w:rtl w:val="0"/>
              </w:rPr>
              <w:t xml:space="preserve">around half the SAD</w:t>
            </w:r>
          </w:p>
        </w:tc>
        <w:tc>
          <w:tcPr>
            <w:tcMar>
              <w:top w:w="60.0" w:type="dxa"/>
              <w:left w:w="110.0" w:type="dxa"/>
              <w:bottom w:w="60.0" w:type="dxa"/>
              <w:right w:w="110.0" w:type="dxa"/>
            </w:tcMar>
          </w:tcPr>
          <w:p w:rsidR="00000000" w:rsidDel="00000000" w:rsidP="00000000" w:rsidRDefault="00000000" w:rsidRPr="00000000" w14:paraId="00000011">
            <w:pPr>
              <w:spacing w:after="20" w:before="20" w:lineRule="auto"/>
              <w:rPr/>
            </w:pPr>
            <w:r w:rsidDel="00000000" w:rsidR="00000000" w:rsidRPr="00000000">
              <w:rPr>
                <w:b w:val="1"/>
                <w:bCs w:val="1"/>
                <w:rtl w:val="0"/>
              </w:rPr>
              <w:t xml:space="preserve">SCD (source-to-collimator distance, here source-to-LCD) = 140 mm</w:t>
            </w:r>
            <w:r w:rsidDel="00000000" w:rsidR="00000000" w:rsidRPr="00000000">
              <w:rPr>
                <w:rtl w:val="0"/>
              </w:rPr>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12">
            <w:pPr>
              <w:spacing w:after="20" w:before="20" w:lineRule="auto"/>
              <w:rPr/>
            </w:pPr>
            <w:r w:rsidDel="00000000" w:rsidR="00000000" w:rsidRPr="00000000">
              <w:rPr>
                <w:rtl w:val="0"/>
              </w:rPr>
              <w:t xml:space="preserve">Central MLC leaf width at isocentre</w:t>
            </w:r>
          </w:p>
        </w:tc>
        <w:tc>
          <w:tcPr>
            <w:tcMar>
              <w:top w:w="60.0" w:type="dxa"/>
              <w:left w:w="110.0" w:type="dxa"/>
              <w:bottom w:w="60.0" w:type="dxa"/>
              <w:right w:w="110.0" w:type="dxa"/>
            </w:tcMar>
          </w:tcPr>
          <w:p w:rsidR="00000000" w:rsidDel="00000000" w:rsidP="00000000" w:rsidRDefault="00000000" w:rsidRPr="00000000" w14:paraId="00000013">
            <w:pPr>
              <w:spacing w:after="20" w:before="20" w:lineRule="auto"/>
              <w:rPr/>
            </w:pPr>
            <w:r w:rsidDel="00000000" w:rsidR="00000000" w:rsidRPr="00000000">
              <w:rPr>
                <w:rtl w:val="0"/>
              </w:rPr>
              <w:t xml:space="preserve">5 mm (Millennium 120)</w:t>
            </w:r>
          </w:p>
        </w:tc>
        <w:tc>
          <w:tcPr>
            <w:tcMar>
              <w:top w:w="60.0" w:type="dxa"/>
              <w:left w:w="110.0" w:type="dxa"/>
              <w:bottom w:w="60.0" w:type="dxa"/>
              <w:right w:w="110.0" w:type="dxa"/>
            </w:tcMar>
          </w:tcPr>
          <w:p w:rsidR="00000000" w:rsidDel="00000000" w:rsidP="00000000" w:rsidRDefault="00000000" w:rsidRPr="00000000" w14:paraId="00000014">
            <w:pPr>
              <w:spacing w:after="20" w:before="20" w:lineRule="auto"/>
              <w:rPr/>
            </w:pPr>
            <w:r w:rsidDel="00000000" w:rsidR="00000000" w:rsidRPr="00000000">
              <w:rPr>
                <w:rtl w:val="0"/>
              </w:rPr>
              <w:t xml:space="preserve">1.25 mm, about 5 LCD pixels</w:t>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15">
            <w:pPr>
              <w:spacing w:after="20" w:before="20" w:lineRule="auto"/>
              <w:rPr/>
            </w:pPr>
            <w:r w:rsidDel="00000000" w:rsidR="00000000" w:rsidRPr="00000000">
              <w:rPr>
                <w:rtl w:val="0"/>
              </w:rPr>
              <w:t xml:space="preserve">Maximum field</w:t>
            </w:r>
          </w:p>
        </w:tc>
        <w:tc>
          <w:tcPr>
            <w:tcMar>
              <w:top w:w="60.0" w:type="dxa"/>
              <w:left w:w="110.0" w:type="dxa"/>
              <w:bottom w:w="60.0" w:type="dxa"/>
              <w:right w:w="110.0" w:type="dxa"/>
            </w:tcMar>
          </w:tcPr>
          <w:p w:rsidR="00000000" w:rsidDel="00000000" w:rsidP="00000000" w:rsidRDefault="00000000" w:rsidRPr="00000000" w14:paraId="00000016">
            <w:pPr>
              <w:spacing w:after="20" w:before="20" w:lineRule="auto"/>
              <w:rPr/>
            </w:pPr>
            <w:r w:rsidDel="00000000" w:rsidR="00000000" w:rsidRPr="00000000">
              <w:rPr>
                <w:rtl w:val="0"/>
              </w:rPr>
              <w:t xml:space="preserve">40 × 40 cm</w:t>
            </w:r>
          </w:p>
        </w:tc>
        <w:tc>
          <w:tcPr>
            <w:tcMar>
              <w:top w:w="60.0" w:type="dxa"/>
              <w:left w:w="110.0" w:type="dxa"/>
              <w:bottom w:w="60.0" w:type="dxa"/>
              <w:right w:w="110.0" w:type="dxa"/>
            </w:tcMar>
          </w:tcPr>
          <w:p w:rsidR="00000000" w:rsidDel="00000000" w:rsidP="00000000" w:rsidRDefault="00000000" w:rsidRPr="00000000" w14:paraId="00000017">
            <w:pPr>
              <w:spacing w:after="20" w:before="20" w:lineRule="auto"/>
              <w:rPr/>
            </w:pPr>
            <w:r w:rsidDel="00000000" w:rsidR="00000000" w:rsidRPr="00000000">
              <w:rPr>
                <w:rtl w:val="0"/>
              </w:rPr>
              <w:t xml:space="preserve">about 87 × 66 mm with a 2.4-inch LCD (equivalent to 35 × 26 cm)</w:t>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18">
            <w:pPr>
              <w:spacing w:after="20" w:before="20" w:lineRule="auto"/>
              <w:rPr/>
            </w:pPr>
            <w:r w:rsidDel="00000000" w:rsidR="00000000" w:rsidRPr="00000000">
              <w:rPr>
                <w:rtl w:val="0"/>
              </w:rPr>
              <w:t xml:space="preserve">Patient</w:t>
            </w:r>
          </w:p>
        </w:tc>
        <w:tc>
          <w:tcPr>
            <w:tcMar>
              <w:top w:w="60.0" w:type="dxa"/>
              <w:left w:w="110.0" w:type="dxa"/>
              <w:bottom w:w="60.0" w:type="dxa"/>
              <w:right w:w="110.0" w:type="dxa"/>
            </w:tcMar>
          </w:tcPr>
          <w:p w:rsidR="00000000" w:rsidDel="00000000" w:rsidP="00000000" w:rsidRDefault="00000000" w:rsidRPr="00000000" w14:paraId="00000019">
            <w:pPr>
              <w:spacing w:after="20" w:before="20" w:lineRule="auto"/>
              <w:rPr/>
            </w:pPr>
            <w:r w:rsidDel="00000000" w:rsidR="00000000" w:rsidRPr="00000000">
              <w:rPr>
                <w:rtl w:val="0"/>
              </w:rPr>
              <w:t xml:space="preserve">20–30 cm wide</w:t>
            </w:r>
          </w:p>
        </w:tc>
        <w:tc>
          <w:tcPr>
            <w:tcMar>
              <w:top w:w="60.0" w:type="dxa"/>
              <w:left w:w="110.0" w:type="dxa"/>
              <w:bottom w:w="60.0" w:type="dxa"/>
              <w:right w:w="110.0" w:type="dxa"/>
            </w:tcMar>
          </w:tcPr>
          <w:p w:rsidR="00000000" w:rsidDel="00000000" w:rsidP="00000000" w:rsidRDefault="00000000" w:rsidRPr="00000000" w14:paraId="0000001A">
            <w:pPr>
              <w:spacing w:after="20" w:before="20" w:lineRule="auto"/>
              <w:rPr/>
            </w:pPr>
            <w:r w:rsidDel="00000000" w:rsidR="00000000" w:rsidRPr="00000000">
              <w:rPr>
                <w:rtl w:val="0"/>
              </w:rPr>
              <w:t xml:space="preserve">50–60 mm diameter tube</w:t>
            </w:r>
          </w:p>
        </w:tc>
      </w:tr>
    </w:tbl>
    <w:p w:rsidR="00000000" w:rsidDel="00000000" w:rsidP="00000000" w:rsidRDefault="00000000" w:rsidRPr="00000000" w14:paraId="0000001B">
      <w:pPr>
        <w:spacing w:after="160" w:lineRule="auto"/>
        <w:rPr/>
      </w:pPr>
      <w:r w:rsidDel="00000000" w:rsidR="00000000" w:rsidRPr="00000000">
        <w:rPr>
          <w:rtl w:val="0"/>
        </w:rPr>
      </w:r>
    </w:p>
    <w:p w:rsidR="00000000" w:rsidDel="00000000" w:rsidP="00000000" w:rsidRDefault="00000000" w:rsidRPr="00000000" w14:paraId="0000001C">
      <w:pPr>
        <w:pStyle w:val="Heading2"/>
        <w:spacing w:after="90" w:before="240" w:lineRule="auto"/>
        <w:rPr/>
      </w:pPr>
      <w:r w:rsidDel="00000000" w:rsidR="00000000" w:rsidRPr="00000000">
        <w:rPr>
          <w:rtl w:val="0"/>
        </w:rPr>
        <w:t xml:space="preserve">Coordinate system</w:t>
      </w:r>
    </w:p>
    <w:p w:rsidR="00000000" w:rsidDel="00000000" w:rsidP="00000000" w:rsidRDefault="00000000" w:rsidRPr="00000000" w14:paraId="0000001D">
      <w:pPr>
        <w:spacing w:after="120" w:before="60" w:line="280" w:lineRule="auto"/>
        <w:rPr/>
      </w:pPr>
      <w:r w:rsidDel="00000000" w:rsidR="00000000" w:rsidRPr="00000000">
        <w:rPr>
          <w:rtl w:val="0"/>
        </w:rPr>
        <w:t xml:space="preserve">Use the IEC 61217 convention (the International Electrotechnical Commission standard for radiotherapy equipment coordinates) from the start:</w:t>
      </w:r>
    </w:p>
    <w:p w:rsidR="00000000" w:rsidDel="00000000" w:rsidP="00000000" w:rsidRDefault="00000000" w:rsidRPr="00000000" w14:paraId="0000001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X</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is lateral, </w:t>
      </w: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Y</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runs along the couch towards the gantry, and </w:t>
      </w: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Z</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points up.</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At gantry angle 0°, the source is above the isocentre.</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The gantry rotates around Y, so the "patient" (the tube) lies along the rotation axis, as on a real machine.</w:t>
      </w:r>
      <w:r w:rsidDel="00000000" w:rsidR="00000000" w:rsidRPr="00000000">
        <w:rPr>
          <w:rtl w:val="0"/>
        </w:rPr>
      </w:r>
    </w:p>
    <w:p w:rsidR="00000000" w:rsidDel="00000000" w:rsidP="00000000" w:rsidRDefault="00000000" w:rsidRPr="00000000" w14:paraId="00000021">
      <w:pPr>
        <w:spacing w:after="120" w:before="60" w:line="280" w:lineRule="auto"/>
        <w:rPr/>
      </w:pPr>
      <w:r w:rsidDel="00000000" w:rsidR="00000000" w:rsidRPr="00000000">
        <w:rPr>
          <w:rtl w:val="0"/>
        </w:rPr>
        <w:t xml:space="preserve">Check the sign conventions against a real plan before importing DICOM (Digital Imaging and Communications in Medicine) files.</w:t>
      </w:r>
    </w:p>
    <w:p w:rsidR="00000000" w:rsidDel="00000000" w:rsidP="00000000" w:rsidRDefault="00000000" w:rsidRPr="00000000" w14:paraId="00000022">
      <w:pPr>
        <w:pStyle w:val="Heading2"/>
        <w:spacing w:after="90" w:before="240" w:lineRule="auto"/>
        <w:rPr/>
      </w:pPr>
      <w:r w:rsidDel="00000000" w:rsidR="00000000" w:rsidRPr="00000000">
        <w:rPr>
          <w:rtl w:val="0"/>
        </w:rPr>
        <w:t xml:space="preserve">The numbers that matter</w:t>
      </w:r>
    </w:p>
    <w:p w:rsidR="00000000" w:rsidDel="00000000" w:rsidP="00000000" w:rsidRDefault="00000000" w:rsidRPr="00000000" w14:paraId="0000002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Magnification at the isocentre:</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SAD / SCD = 250 / 140 ≈ 1.79.</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Pixel size at the isocentre:</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a 2.4-inch 320 × 240 panel has about 0.153 mm pixels, which gives about 0.27 mm at the isocentre (≈ 1.1 mm clinical equivalent). That is finer than a real MLC.</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Geometric penumbra:</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p = s × (SAD − SCD) / SCD, where s is the source size. A 1 mm pinhole gives about 0.8 mm (≈ 3 mm clinical equivalent, which is realistic).</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Why a longer SCD is better:</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it gives sharper field edges and smaller ray angles through the LCD. LCD contrast drops at steep angles; at SCD = 140 mm, rays cross the panel at 10° or less.</w:t>
      </w:r>
      <w:r w:rsidDel="00000000" w:rsidR="00000000" w:rsidRPr="00000000">
        <w:rPr>
          <w:rtl w:val="0"/>
        </w:rPr>
      </w:r>
    </w:p>
    <w:p w:rsidR="00000000" w:rsidDel="00000000" w:rsidP="00000000" w:rsidRDefault="00000000" w:rsidRPr="00000000" w14:paraId="00000027">
      <w:pPr>
        <w:pStyle w:val="Heading1"/>
        <w:pBdr>
          <w:bottom w:color="bfbfbf" w:space="4" w:sz="6" w:val="single"/>
        </w:pBdr>
        <w:spacing w:after="120" w:before="320" w:lineRule="auto"/>
        <w:rPr/>
      </w:pPr>
      <w:r w:rsidDel="00000000" w:rsidR="00000000" w:rsidRPr="00000000">
        <w:rPr>
          <w:rtl w:val="0"/>
        </w:rPr>
        <w:t xml:space="preserve">1. Parts list (rough estimates)</w:t>
      </w:r>
    </w:p>
    <w:tbl>
      <w:tblPr>
        <w:tblStyle w:val="Table2"/>
        <w:tblW w:w="9638.0" w:type="dxa"/>
        <w:jc w:val="left"/>
        <w:tblBorders>
          <w:top w:color="bfbfbf" w:space="0" w:sz="4" w:val="single"/>
          <w:left w:color="bfbfbf" w:space="0" w:sz="4" w:val="single"/>
          <w:bottom w:color="bfbfbf" w:space="0" w:sz="4" w:val="single"/>
          <w:right w:color="bfbfbf" w:space="0" w:sz="4" w:val="single"/>
          <w:insideH w:color="000000" w:space="0" w:sz="4" w:val="single"/>
          <w:insideV w:color="000000" w:space="0" w:sz="4" w:val="single"/>
        </w:tblBorders>
        <w:tblLayout w:type="fixed"/>
        <w:tblLook w:val="0000"/>
      </w:tblPr>
      <w:tblGrid>
        <w:gridCol w:w="1531"/>
        <w:gridCol w:w="6306"/>
        <w:gridCol w:w="1801"/>
        <w:tblGridChange w:id="0">
          <w:tblGrid>
            <w:gridCol w:w="1531"/>
            <w:gridCol w:w="6306"/>
            <w:gridCol w:w="1801"/>
          </w:tblGrid>
        </w:tblGridChange>
      </w:tblGrid>
      <w:tr>
        <w:trPr>
          <w:cantSplit w:val="0"/>
          <w:tblHeader w:val="1"/>
        </w:trPr>
        <w:tc>
          <w:tcPr>
            <w:shd w:fill="e7edf4" w:val="clear"/>
            <w:tcMar>
              <w:top w:w="60.0" w:type="dxa"/>
              <w:left w:w="110.0" w:type="dxa"/>
              <w:bottom w:w="60.0" w:type="dxa"/>
              <w:right w:w="110.0" w:type="dxa"/>
            </w:tcMar>
          </w:tcPr>
          <w:p w:rsidR="00000000" w:rsidDel="00000000" w:rsidP="00000000" w:rsidRDefault="00000000" w:rsidRPr="00000000" w14:paraId="00000028">
            <w:pPr>
              <w:spacing w:after="20" w:before="20" w:lineRule="auto"/>
              <w:rPr/>
            </w:pPr>
            <w:r w:rsidDel="00000000" w:rsidR="00000000" w:rsidRPr="00000000">
              <w:rPr>
                <w:b w:val="1"/>
                <w:bCs w:val="1"/>
                <w:color w:val="1f3864"/>
                <w:rtl w:val="0"/>
              </w:rPr>
              <w:t xml:space="preserve">Part</w:t>
            </w:r>
            <w:r w:rsidDel="00000000" w:rsidR="00000000" w:rsidRPr="00000000">
              <w:rPr>
                <w:rtl w:val="0"/>
              </w:rPr>
            </w:r>
          </w:p>
        </w:tc>
        <w:tc>
          <w:tcPr>
            <w:shd w:fill="e7edf4" w:val="clear"/>
            <w:tcMar>
              <w:top w:w="60.0" w:type="dxa"/>
              <w:left w:w="110.0" w:type="dxa"/>
              <w:bottom w:w="60.0" w:type="dxa"/>
              <w:right w:w="110.0" w:type="dxa"/>
            </w:tcMar>
          </w:tcPr>
          <w:p w:rsidR="00000000" w:rsidDel="00000000" w:rsidP="00000000" w:rsidRDefault="00000000" w:rsidRPr="00000000" w14:paraId="00000029">
            <w:pPr>
              <w:spacing w:after="20" w:before="20" w:lineRule="auto"/>
              <w:rPr/>
            </w:pPr>
            <w:r w:rsidDel="00000000" w:rsidR="00000000" w:rsidRPr="00000000">
              <w:rPr>
                <w:b w:val="1"/>
                <w:bCs w:val="1"/>
                <w:color w:val="1f3864"/>
                <w:rtl w:val="0"/>
              </w:rPr>
              <w:t xml:space="preserve">Suggestion</w:t>
            </w:r>
            <w:r w:rsidDel="00000000" w:rsidR="00000000" w:rsidRPr="00000000">
              <w:rPr>
                <w:rtl w:val="0"/>
              </w:rPr>
            </w:r>
          </w:p>
        </w:tc>
        <w:tc>
          <w:tcPr>
            <w:shd w:fill="e7edf4" w:val="clear"/>
            <w:tcMar>
              <w:top w:w="60.0" w:type="dxa"/>
              <w:left w:w="110.0" w:type="dxa"/>
              <w:bottom w:w="60.0" w:type="dxa"/>
              <w:right w:w="110.0" w:type="dxa"/>
            </w:tcMar>
          </w:tcPr>
          <w:p w:rsidR="00000000" w:rsidDel="00000000" w:rsidP="00000000" w:rsidRDefault="00000000" w:rsidRPr="00000000" w14:paraId="0000002A">
            <w:pPr>
              <w:spacing w:after="20" w:before="20" w:lineRule="auto"/>
              <w:rPr/>
            </w:pPr>
            <w:r w:rsidDel="00000000" w:rsidR="00000000" w:rsidRPr="00000000">
              <w:rPr>
                <w:b w:val="1"/>
                <w:bCs w:val="1"/>
                <w:color w:val="1f3864"/>
                <w:rtl w:val="0"/>
              </w:rPr>
              <w:t xml:space="preserve">Approx. cost</w:t>
            </w:r>
            <w:r w:rsidDel="00000000" w:rsidR="00000000" w:rsidRPr="00000000">
              <w:rPr>
                <w:rtl w:val="0"/>
              </w:rPr>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2B">
            <w:pPr>
              <w:spacing w:after="20" w:before="20" w:lineRule="auto"/>
              <w:rPr/>
            </w:pPr>
            <w:r w:rsidDel="00000000" w:rsidR="00000000" w:rsidRPr="00000000">
              <w:rPr>
                <w:rtl w:val="0"/>
              </w:rPr>
              <w:t xml:space="preserve">Frame</w:t>
            </w:r>
          </w:p>
        </w:tc>
        <w:tc>
          <w:tcPr>
            <w:tcMar>
              <w:top w:w="60.0" w:type="dxa"/>
              <w:left w:w="110.0" w:type="dxa"/>
              <w:bottom w:w="60.0" w:type="dxa"/>
              <w:right w:w="110.0" w:type="dxa"/>
            </w:tcMar>
          </w:tcPr>
          <w:p w:rsidR="00000000" w:rsidDel="00000000" w:rsidP="00000000" w:rsidRDefault="00000000" w:rsidRPr="00000000" w14:paraId="0000002C">
            <w:pPr>
              <w:spacing w:after="20" w:before="20" w:lineRule="auto"/>
              <w:rPr/>
            </w:pPr>
            <w:r w:rsidDel="00000000" w:rsidR="00000000" w:rsidRPr="00000000">
              <w:rPr>
                <w:rtl w:val="0"/>
              </w:rPr>
              <w:t xml:space="preserve">2020/2040 aluminium extrusion, brackets, 18 mm plywood base</w:t>
            </w:r>
          </w:p>
        </w:tc>
        <w:tc>
          <w:tcPr>
            <w:tcMar>
              <w:top w:w="60.0" w:type="dxa"/>
              <w:left w:w="110.0" w:type="dxa"/>
              <w:bottom w:w="60.0" w:type="dxa"/>
              <w:right w:w="110.0" w:type="dxa"/>
            </w:tcMar>
          </w:tcPr>
          <w:p w:rsidR="00000000" w:rsidDel="00000000" w:rsidP="00000000" w:rsidRDefault="00000000" w:rsidRPr="00000000" w14:paraId="0000002D">
            <w:pPr>
              <w:spacing w:after="20" w:before="20" w:lineRule="auto"/>
              <w:rPr/>
            </w:pPr>
            <w:r w:rsidDel="00000000" w:rsidR="00000000" w:rsidRPr="00000000">
              <w:rPr>
                <w:rtl w:val="0"/>
              </w:rPr>
              <w:t xml:space="preserve">€40–80</w:t>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2E">
            <w:pPr>
              <w:spacing w:after="20" w:before="20" w:lineRule="auto"/>
              <w:rPr/>
            </w:pPr>
            <w:r w:rsidDel="00000000" w:rsidR="00000000" w:rsidRPr="00000000">
              <w:rPr>
                <w:rtl w:val="0"/>
              </w:rPr>
              <w:t xml:space="preserve">Gantry bearing</w:t>
            </w:r>
          </w:p>
        </w:tc>
        <w:tc>
          <w:tcPr>
            <w:tcMar>
              <w:top w:w="60.0" w:type="dxa"/>
              <w:left w:w="110.0" w:type="dxa"/>
              <w:bottom w:w="60.0" w:type="dxa"/>
              <w:right w:w="110.0" w:type="dxa"/>
            </w:tcMar>
          </w:tcPr>
          <w:p w:rsidR="00000000" w:rsidDel="00000000" w:rsidP="00000000" w:rsidRDefault="00000000" w:rsidRPr="00000000" w14:paraId="0000002F">
            <w:pPr>
              <w:spacing w:after="20" w:before="20" w:lineRule="auto"/>
              <w:rPr/>
            </w:pPr>
            <w:r w:rsidDel="00000000" w:rsidR="00000000" w:rsidRPr="00000000">
              <w:rPr>
                <w:rtl w:val="0"/>
              </w:rPr>
              <w:t xml:space="preserve">20 mm shaft + two 6004 bearings, or a small slewing ring</w:t>
            </w:r>
          </w:p>
        </w:tc>
        <w:tc>
          <w:tcPr>
            <w:tcMar>
              <w:top w:w="60.0" w:type="dxa"/>
              <w:left w:w="110.0" w:type="dxa"/>
              <w:bottom w:w="60.0" w:type="dxa"/>
              <w:right w:w="110.0" w:type="dxa"/>
            </w:tcMar>
          </w:tcPr>
          <w:p w:rsidR="00000000" w:rsidDel="00000000" w:rsidP="00000000" w:rsidRDefault="00000000" w:rsidRPr="00000000" w14:paraId="00000030">
            <w:pPr>
              <w:spacing w:after="20" w:before="20" w:lineRule="auto"/>
              <w:rPr/>
            </w:pPr>
            <w:r w:rsidDel="00000000" w:rsidR="00000000" w:rsidRPr="00000000">
              <w:rPr>
                <w:rtl w:val="0"/>
              </w:rPr>
              <w:t xml:space="preserve">€20–60</w:t>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31">
            <w:pPr>
              <w:spacing w:after="20" w:before="20" w:lineRule="auto"/>
              <w:rPr/>
            </w:pPr>
            <w:r w:rsidDel="00000000" w:rsidR="00000000" w:rsidRPr="00000000">
              <w:rPr>
                <w:rtl w:val="0"/>
              </w:rPr>
              <w:t xml:space="preserve">Motors</w:t>
            </w:r>
          </w:p>
        </w:tc>
        <w:tc>
          <w:tcPr>
            <w:tcMar>
              <w:top w:w="60.0" w:type="dxa"/>
              <w:left w:w="110.0" w:type="dxa"/>
              <w:bottom w:w="60.0" w:type="dxa"/>
              <w:right w:w="110.0" w:type="dxa"/>
            </w:tcMar>
          </w:tcPr>
          <w:p w:rsidR="00000000" w:rsidDel="00000000" w:rsidP="00000000" w:rsidRDefault="00000000" w:rsidRPr="00000000" w14:paraId="00000032">
            <w:pPr>
              <w:spacing w:after="20" w:before="20" w:lineRule="auto"/>
              <w:rPr/>
            </w:pPr>
            <w:r w:rsidDel="00000000" w:rsidR="00000000" w:rsidRPr="00000000">
              <w:rPr>
                <w:rtl w:val="0"/>
              </w:rPr>
              <w:t xml:space="preserve">NEMA 17 steppers (gantry, couch axes, optional collimator)</w:t>
            </w:r>
          </w:p>
        </w:tc>
        <w:tc>
          <w:tcPr>
            <w:tcMar>
              <w:top w:w="60.0" w:type="dxa"/>
              <w:left w:w="110.0" w:type="dxa"/>
              <w:bottom w:w="60.0" w:type="dxa"/>
              <w:right w:w="110.0" w:type="dxa"/>
            </w:tcMar>
          </w:tcPr>
          <w:p w:rsidR="00000000" w:rsidDel="00000000" w:rsidP="00000000" w:rsidRDefault="00000000" w:rsidRPr="00000000" w14:paraId="00000033">
            <w:pPr>
              <w:spacing w:after="20" w:before="20" w:lineRule="auto"/>
              <w:rPr/>
            </w:pPr>
            <w:r w:rsidDel="00000000" w:rsidR="00000000" w:rsidRPr="00000000">
              <w:rPr>
                <w:rtl w:val="0"/>
              </w:rPr>
              <w:t xml:space="preserve">€60–100</w:t>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34">
            <w:pPr>
              <w:spacing w:after="20" w:before="20" w:lineRule="auto"/>
              <w:rPr/>
            </w:pPr>
            <w:r w:rsidDel="00000000" w:rsidR="00000000" w:rsidRPr="00000000">
              <w:rPr>
                <w:rtl w:val="0"/>
              </w:rPr>
              <w:t xml:space="preserve">Reduction</w:t>
            </w:r>
          </w:p>
        </w:tc>
        <w:tc>
          <w:tcPr>
            <w:tcMar>
              <w:top w:w="60.0" w:type="dxa"/>
              <w:left w:w="110.0" w:type="dxa"/>
              <w:bottom w:w="60.0" w:type="dxa"/>
              <w:right w:w="110.0" w:type="dxa"/>
            </w:tcMar>
          </w:tcPr>
          <w:p w:rsidR="00000000" w:rsidDel="00000000" w:rsidP="00000000" w:rsidRDefault="00000000" w:rsidRPr="00000000" w14:paraId="00000035">
            <w:pPr>
              <w:spacing w:after="20" w:before="20" w:lineRule="auto"/>
              <w:rPr/>
            </w:pPr>
            <w:r w:rsidDel="00000000" w:rsidR="00000000" w:rsidRPr="00000000">
              <w:rPr>
                <w:rtl w:val="0"/>
              </w:rPr>
              <w:t xml:space="preserve">GT2 belt and pulleys (20T → 200T) or worm gearboxes</w:t>
            </w:r>
          </w:p>
        </w:tc>
        <w:tc>
          <w:tcPr>
            <w:tcMar>
              <w:top w:w="60.0" w:type="dxa"/>
              <w:left w:w="110.0" w:type="dxa"/>
              <w:bottom w:w="60.0" w:type="dxa"/>
              <w:right w:w="110.0" w:type="dxa"/>
            </w:tcMar>
          </w:tcPr>
          <w:p w:rsidR="00000000" w:rsidDel="00000000" w:rsidP="00000000" w:rsidRDefault="00000000" w:rsidRPr="00000000" w14:paraId="00000036">
            <w:pPr>
              <w:spacing w:after="20" w:before="20" w:lineRule="auto"/>
              <w:rPr/>
            </w:pPr>
            <w:r w:rsidDel="00000000" w:rsidR="00000000" w:rsidRPr="00000000">
              <w:rPr>
                <w:rtl w:val="0"/>
              </w:rPr>
              <w:t xml:space="preserve">€20–60</w:t>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37">
            <w:pPr>
              <w:spacing w:after="20" w:before="20" w:lineRule="auto"/>
              <w:rPr/>
            </w:pPr>
            <w:r w:rsidDel="00000000" w:rsidR="00000000" w:rsidRPr="00000000">
              <w:rPr>
                <w:rtl w:val="0"/>
              </w:rPr>
              <w:t xml:space="preserve">Couch mechanics</w:t>
            </w:r>
          </w:p>
        </w:tc>
        <w:tc>
          <w:tcPr>
            <w:tcMar>
              <w:top w:w="60.0" w:type="dxa"/>
              <w:left w:w="110.0" w:type="dxa"/>
              <w:bottom w:w="60.0" w:type="dxa"/>
              <w:right w:w="110.0" w:type="dxa"/>
            </w:tcMar>
          </w:tcPr>
          <w:p w:rsidR="00000000" w:rsidDel="00000000" w:rsidP="00000000" w:rsidRDefault="00000000" w:rsidRPr="00000000" w14:paraId="00000038">
            <w:pPr>
              <w:spacing w:after="20" w:before="20" w:lineRule="auto"/>
              <w:rPr/>
            </w:pPr>
            <w:r w:rsidDel="00000000" w:rsidR="00000000" w:rsidRPr="00000000">
              <w:rPr>
                <w:rtl w:val="0"/>
              </w:rPr>
              <w:t xml:space="preserve">3 × MGN12 linear rails + T8 lead screws (or a manual XYZ stage to start)</w:t>
            </w:r>
          </w:p>
        </w:tc>
        <w:tc>
          <w:tcPr>
            <w:tcMar>
              <w:top w:w="60.0" w:type="dxa"/>
              <w:left w:w="110.0" w:type="dxa"/>
              <w:bottom w:w="60.0" w:type="dxa"/>
              <w:right w:w="110.0" w:type="dxa"/>
            </w:tcMar>
          </w:tcPr>
          <w:p w:rsidR="00000000" w:rsidDel="00000000" w:rsidP="00000000" w:rsidRDefault="00000000" w:rsidRPr="00000000" w14:paraId="00000039">
            <w:pPr>
              <w:spacing w:after="20" w:before="20" w:lineRule="auto"/>
              <w:rPr/>
            </w:pPr>
            <w:r w:rsidDel="00000000" w:rsidR="00000000" w:rsidRPr="00000000">
              <w:rPr>
                <w:rtl w:val="0"/>
              </w:rPr>
              <w:t xml:space="preserve">€30–120</w:t>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3A">
            <w:pPr>
              <w:spacing w:after="20" w:before="20" w:lineRule="auto"/>
              <w:rPr/>
            </w:pPr>
            <w:r w:rsidDel="00000000" w:rsidR="00000000" w:rsidRPr="00000000">
              <w:rPr>
                <w:rtl w:val="0"/>
              </w:rPr>
              <w:t xml:space="preserve">Encoders</w:t>
            </w:r>
          </w:p>
        </w:tc>
        <w:tc>
          <w:tcPr>
            <w:tcMar>
              <w:top w:w="60.0" w:type="dxa"/>
              <w:left w:w="110.0" w:type="dxa"/>
              <w:bottom w:w="60.0" w:type="dxa"/>
              <w:right w:w="110.0" w:type="dxa"/>
            </w:tcMar>
          </w:tcPr>
          <w:p w:rsidR="00000000" w:rsidDel="00000000" w:rsidP="00000000" w:rsidRDefault="00000000" w:rsidRPr="00000000" w14:paraId="0000003B">
            <w:pPr>
              <w:spacing w:after="20" w:before="20" w:lineRule="auto"/>
              <w:rPr/>
            </w:pPr>
            <w:r w:rsidDel="00000000" w:rsidR="00000000" w:rsidRPr="00000000">
              <w:rPr>
                <w:rtl w:val="0"/>
              </w:rPr>
              <w:t xml:space="preserve">AS5048A 14-bit magnetic encoders (gantry, couch rotation)</w:t>
            </w:r>
          </w:p>
        </w:tc>
        <w:tc>
          <w:tcPr>
            <w:tcMar>
              <w:top w:w="60.0" w:type="dxa"/>
              <w:left w:w="110.0" w:type="dxa"/>
              <w:bottom w:w="60.0" w:type="dxa"/>
              <w:right w:w="110.0" w:type="dxa"/>
            </w:tcMar>
          </w:tcPr>
          <w:p w:rsidR="00000000" w:rsidDel="00000000" w:rsidP="00000000" w:rsidRDefault="00000000" w:rsidRPr="00000000" w14:paraId="0000003C">
            <w:pPr>
              <w:spacing w:after="20" w:before="20" w:lineRule="auto"/>
              <w:rPr/>
            </w:pPr>
            <w:r w:rsidDel="00000000" w:rsidR="00000000" w:rsidRPr="00000000">
              <w:rPr>
                <w:rtl w:val="0"/>
              </w:rPr>
              <w:t xml:space="preserve">€20–45</w:t>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3D">
            <w:pPr>
              <w:spacing w:after="20" w:before="20" w:lineRule="auto"/>
              <w:rPr/>
            </w:pPr>
            <w:r w:rsidDel="00000000" w:rsidR="00000000" w:rsidRPr="00000000">
              <w:rPr>
                <w:rtl w:val="0"/>
              </w:rPr>
              <w:t xml:space="preserve">Motion controller</w:t>
            </w:r>
          </w:p>
        </w:tc>
        <w:tc>
          <w:tcPr>
            <w:tcMar>
              <w:top w:w="60.0" w:type="dxa"/>
              <w:left w:w="110.0" w:type="dxa"/>
              <w:bottom w:w="60.0" w:type="dxa"/>
              <w:right w:w="110.0" w:type="dxa"/>
            </w:tcMar>
          </w:tcPr>
          <w:p w:rsidR="00000000" w:rsidDel="00000000" w:rsidP="00000000" w:rsidRDefault="00000000" w:rsidRPr="00000000" w14:paraId="0000003E">
            <w:pPr>
              <w:spacing w:after="20" w:before="20" w:lineRule="auto"/>
              <w:rPr/>
            </w:pPr>
            <w:r w:rsidDel="00000000" w:rsidR="00000000" w:rsidRPr="00000000">
              <w:rPr>
                <w:rtl w:val="0"/>
              </w:rPr>
              <w:t xml:space="preserve">ESP32 board running FluidNC + TMC2209 drivers (quiet, which is good near patients)</w:t>
            </w:r>
          </w:p>
        </w:tc>
        <w:tc>
          <w:tcPr>
            <w:tcMar>
              <w:top w:w="60.0" w:type="dxa"/>
              <w:left w:w="110.0" w:type="dxa"/>
              <w:bottom w:w="60.0" w:type="dxa"/>
              <w:right w:w="110.0" w:type="dxa"/>
            </w:tcMar>
          </w:tcPr>
          <w:p w:rsidR="00000000" w:rsidDel="00000000" w:rsidP="00000000" w:rsidRDefault="00000000" w:rsidRPr="00000000" w14:paraId="0000003F">
            <w:pPr>
              <w:spacing w:after="20" w:before="20" w:lineRule="auto"/>
              <w:rPr/>
            </w:pPr>
            <w:r w:rsidDel="00000000" w:rsidR="00000000" w:rsidRPr="00000000">
              <w:rPr>
                <w:rtl w:val="0"/>
              </w:rPr>
              <w:t xml:space="preserve">€40–80</w:t>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40">
            <w:pPr>
              <w:spacing w:after="20" w:before="20" w:lineRule="auto"/>
              <w:rPr/>
            </w:pPr>
            <w:r w:rsidDel="00000000" w:rsidR="00000000" w:rsidRPr="00000000">
              <w:rPr>
                <w:rtl w:val="0"/>
              </w:rPr>
              <w:t xml:space="preserve">Main computer</w:t>
            </w:r>
          </w:p>
        </w:tc>
        <w:tc>
          <w:tcPr>
            <w:tcMar>
              <w:top w:w="60.0" w:type="dxa"/>
              <w:left w:w="110.0" w:type="dxa"/>
              <w:bottom w:w="60.0" w:type="dxa"/>
              <w:right w:w="110.0" w:type="dxa"/>
            </w:tcMar>
          </w:tcPr>
          <w:p w:rsidR="00000000" w:rsidDel="00000000" w:rsidP="00000000" w:rsidRDefault="00000000" w:rsidRPr="00000000" w14:paraId="00000041">
            <w:pPr>
              <w:spacing w:after="20" w:before="20" w:lineRule="auto"/>
              <w:rPr/>
            </w:pPr>
            <w:r w:rsidDel="00000000" w:rsidR="00000000" w:rsidRPr="00000000">
              <w:rPr>
                <w:rtl w:val="0"/>
              </w:rPr>
              <w:t xml:space="preserve">Raspberry Pi 4 or 5</w:t>
            </w:r>
          </w:p>
        </w:tc>
        <w:tc>
          <w:tcPr>
            <w:tcMar>
              <w:top w:w="60.0" w:type="dxa"/>
              <w:left w:w="110.0" w:type="dxa"/>
              <w:bottom w:w="60.0" w:type="dxa"/>
              <w:right w:w="110.0" w:type="dxa"/>
            </w:tcMar>
          </w:tcPr>
          <w:p w:rsidR="00000000" w:rsidDel="00000000" w:rsidP="00000000" w:rsidRDefault="00000000" w:rsidRPr="00000000" w14:paraId="00000042">
            <w:pPr>
              <w:spacing w:after="20" w:before="20" w:lineRule="auto"/>
              <w:rPr/>
            </w:pPr>
            <w:r w:rsidDel="00000000" w:rsidR="00000000" w:rsidRPr="00000000">
              <w:rPr>
                <w:rtl w:val="0"/>
              </w:rPr>
              <w:t xml:space="preserve">€60–100</w:t>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43">
            <w:pPr>
              <w:spacing w:after="20" w:before="20" w:lineRule="auto"/>
              <w:rPr/>
            </w:pPr>
            <w:r w:rsidDel="00000000" w:rsidR="00000000" w:rsidRPr="00000000">
              <w:rPr>
                <w:rtl w:val="0"/>
              </w:rPr>
              <w:t xml:space="preserve">"MLC"</w:t>
            </w:r>
          </w:p>
        </w:tc>
        <w:tc>
          <w:tcPr>
            <w:tcMar>
              <w:top w:w="60.0" w:type="dxa"/>
              <w:left w:w="110.0" w:type="dxa"/>
              <w:bottom w:w="60.0" w:type="dxa"/>
              <w:right w:w="110.0" w:type="dxa"/>
            </w:tcMar>
          </w:tcPr>
          <w:p w:rsidR="00000000" w:rsidDel="00000000" w:rsidP="00000000" w:rsidRDefault="00000000" w:rsidRPr="00000000" w14:paraId="00000044">
            <w:pPr>
              <w:spacing w:after="20" w:before="20" w:lineRule="auto"/>
              <w:rPr/>
            </w:pPr>
            <w:r w:rsidDel="00000000" w:rsidR="00000000" w:rsidRPr="00000000">
              <w:rPr>
                <w:rtl w:val="0"/>
              </w:rPr>
              <w:t xml:space="preserve">2–2.4-inch IPS (in-plane switching) TFT (thin-film transistor) LCD module, backlight removable</w:t>
            </w:r>
          </w:p>
        </w:tc>
        <w:tc>
          <w:tcPr>
            <w:tcMar>
              <w:top w:w="60.0" w:type="dxa"/>
              <w:left w:w="110.0" w:type="dxa"/>
              <w:bottom w:w="60.0" w:type="dxa"/>
              <w:right w:w="110.0" w:type="dxa"/>
            </w:tcMar>
          </w:tcPr>
          <w:p w:rsidR="00000000" w:rsidDel="00000000" w:rsidP="00000000" w:rsidRDefault="00000000" w:rsidRPr="00000000" w14:paraId="00000045">
            <w:pPr>
              <w:spacing w:after="20" w:before="20" w:lineRule="auto"/>
              <w:rPr/>
            </w:pPr>
            <w:r w:rsidDel="00000000" w:rsidR="00000000" w:rsidRPr="00000000">
              <w:rPr>
                <w:rtl w:val="0"/>
              </w:rPr>
              <w:t xml:space="preserve">€15–40</w:t>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46">
            <w:pPr>
              <w:spacing w:after="20" w:before="20" w:lineRule="auto"/>
              <w:rPr/>
            </w:pPr>
            <w:r w:rsidDel="00000000" w:rsidR="00000000" w:rsidRPr="00000000">
              <w:rPr>
                <w:rtl w:val="0"/>
              </w:rPr>
              <w:t xml:space="preserve">Source</w:t>
            </w:r>
          </w:p>
        </w:tc>
        <w:tc>
          <w:tcPr>
            <w:tcMar>
              <w:top w:w="60.0" w:type="dxa"/>
              <w:left w:w="110.0" w:type="dxa"/>
              <w:bottom w:w="60.0" w:type="dxa"/>
              <w:right w:w="110.0" w:type="dxa"/>
            </w:tcMar>
          </w:tcPr>
          <w:p w:rsidR="00000000" w:rsidDel="00000000" w:rsidP="00000000" w:rsidRDefault="00000000" w:rsidRPr="00000000" w14:paraId="00000047">
            <w:pPr>
              <w:spacing w:after="20" w:before="20" w:lineRule="auto"/>
              <w:rPr/>
            </w:pPr>
            <w:r w:rsidDel="00000000" w:rsidR="00000000" w:rsidRPr="00000000">
              <w:rPr>
                <w:rtl w:val="0"/>
              </w:rPr>
              <w:t xml:space="preserve">High-luminance LED with a small die, heatsink, constant-current driver, MOSFET (metal-oxide-semiconductor field-effect transistor) for switching, 0.5–1 mm pinhole</w:t>
            </w:r>
          </w:p>
        </w:tc>
        <w:tc>
          <w:tcPr>
            <w:tcMar>
              <w:top w:w="60.0" w:type="dxa"/>
              <w:left w:w="110.0" w:type="dxa"/>
              <w:bottom w:w="60.0" w:type="dxa"/>
              <w:right w:w="110.0" w:type="dxa"/>
            </w:tcMar>
          </w:tcPr>
          <w:p w:rsidR="00000000" w:rsidDel="00000000" w:rsidP="00000000" w:rsidRDefault="00000000" w:rsidRPr="00000000" w14:paraId="00000048">
            <w:pPr>
              <w:spacing w:after="20" w:before="20" w:lineRule="auto"/>
              <w:rPr/>
            </w:pPr>
            <w:r w:rsidDel="00000000" w:rsidR="00000000" w:rsidRPr="00000000">
              <w:rPr>
                <w:rtl w:val="0"/>
              </w:rPr>
              <w:t xml:space="preserve">€15–30</w:t>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49">
            <w:pPr>
              <w:spacing w:after="20" w:before="20" w:lineRule="auto"/>
              <w:rPr/>
            </w:pPr>
            <w:r w:rsidDel="00000000" w:rsidR="00000000" w:rsidRPr="00000000">
              <w:rPr>
                <w:rtl w:val="0"/>
              </w:rPr>
              <w:t xml:space="preserve">Room lasers</w:t>
            </w:r>
          </w:p>
        </w:tc>
        <w:tc>
          <w:tcPr>
            <w:tcMar>
              <w:top w:w="60.0" w:type="dxa"/>
              <w:left w:w="110.0" w:type="dxa"/>
              <w:bottom w:w="60.0" w:type="dxa"/>
              <w:right w:w="110.0" w:type="dxa"/>
            </w:tcMar>
          </w:tcPr>
          <w:p w:rsidR="00000000" w:rsidDel="00000000" w:rsidP="00000000" w:rsidRDefault="00000000" w:rsidRPr="00000000" w14:paraId="0000004A">
            <w:pPr>
              <w:spacing w:after="20" w:before="20" w:lineRule="auto"/>
              <w:rPr/>
            </w:pPr>
            <w:r w:rsidDel="00000000" w:rsidR="00000000" w:rsidRPr="00000000">
              <w:rPr>
                <w:rtl w:val="0"/>
              </w:rPr>
              <w:t xml:space="preserve">3 × line laser modules (class 2 or lower)</w:t>
            </w:r>
          </w:p>
        </w:tc>
        <w:tc>
          <w:tcPr>
            <w:tcMar>
              <w:top w:w="60.0" w:type="dxa"/>
              <w:left w:w="110.0" w:type="dxa"/>
              <w:bottom w:w="60.0" w:type="dxa"/>
              <w:right w:w="110.0" w:type="dxa"/>
            </w:tcMar>
          </w:tcPr>
          <w:p w:rsidR="00000000" w:rsidDel="00000000" w:rsidP="00000000" w:rsidRDefault="00000000" w:rsidRPr="00000000" w14:paraId="0000004B">
            <w:pPr>
              <w:spacing w:after="20" w:before="20" w:lineRule="auto"/>
              <w:rPr/>
            </w:pPr>
            <w:r w:rsidDel="00000000" w:rsidR="00000000" w:rsidRPr="00000000">
              <w:rPr>
                <w:rtl w:val="0"/>
              </w:rPr>
              <w:t xml:space="preserve">€15–30</w:t>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4C">
            <w:pPr>
              <w:spacing w:after="20" w:before="20" w:lineRule="auto"/>
              <w:rPr/>
            </w:pPr>
            <w:r w:rsidDel="00000000" w:rsidR="00000000" w:rsidRPr="00000000">
              <w:rPr>
                <w:rtl w:val="0"/>
              </w:rPr>
              <w:t xml:space="preserve">Cameras</w:t>
            </w:r>
          </w:p>
        </w:tc>
        <w:tc>
          <w:tcPr>
            <w:tcMar>
              <w:top w:w="60.0" w:type="dxa"/>
              <w:left w:w="110.0" w:type="dxa"/>
              <w:bottom w:w="60.0" w:type="dxa"/>
              <w:right w:w="110.0" w:type="dxa"/>
            </w:tcMar>
          </w:tcPr>
          <w:p w:rsidR="00000000" w:rsidDel="00000000" w:rsidP="00000000" w:rsidRDefault="00000000" w:rsidRPr="00000000" w14:paraId="0000004D">
            <w:pPr>
              <w:spacing w:after="20" w:before="20" w:lineRule="auto"/>
              <w:rPr/>
            </w:pPr>
            <w:r w:rsidDel="00000000" w:rsidR="00000000" w:rsidRPr="00000000">
              <w:rPr>
                <w:rtl w:val="0"/>
              </w:rPr>
              <w:t xml:space="preserve">1 webcam for the portal screen, 1 for the room view / heart demo</w:t>
            </w:r>
          </w:p>
        </w:tc>
        <w:tc>
          <w:tcPr>
            <w:tcMar>
              <w:top w:w="60.0" w:type="dxa"/>
              <w:left w:w="110.0" w:type="dxa"/>
              <w:bottom w:w="60.0" w:type="dxa"/>
              <w:right w:w="110.0" w:type="dxa"/>
            </w:tcMar>
          </w:tcPr>
          <w:p w:rsidR="00000000" w:rsidDel="00000000" w:rsidP="00000000" w:rsidRDefault="00000000" w:rsidRPr="00000000" w14:paraId="0000004E">
            <w:pPr>
              <w:spacing w:after="20" w:before="20" w:lineRule="auto"/>
              <w:rPr/>
            </w:pPr>
            <w:r w:rsidDel="00000000" w:rsidR="00000000" w:rsidRPr="00000000">
              <w:rPr>
                <w:rtl w:val="0"/>
              </w:rPr>
              <w:t xml:space="preserve">€30–60</w:t>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4F">
            <w:pPr>
              <w:spacing w:after="20" w:before="20" w:lineRule="auto"/>
              <w:rPr/>
            </w:pPr>
            <w:r w:rsidDel="00000000" w:rsidR="00000000" w:rsidRPr="00000000">
              <w:rPr>
                <w:rtl w:val="0"/>
              </w:rPr>
              <w:t xml:space="preserve">Power and safety</w:t>
            </w:r>
          </w:p>
        </w:tc>
        <w:tc>
          <w:tcPr>
            <w:tcMar>
              <w:top w:w="60.0" w:type="dxa"/>
              <w:left w:w="110.0" w:type="dxa"/>
              <w:bottom w:w="60.0" w:type="dxa"/>
              <w:right w:w="110.0" w:type="dxa"/>
            </w:tcMar>
          </w:tcPr>
          <w:p w:rsidR="00000000" w:rsidDel="00000000" w:rsidP="00000000" w:rsidRDefault="00000000" w:rsidRPr="00000000" w14:paraId="00000050">
            <w:pPr>
              <w:spacing w:after="20" w:before="20" w:lineRule="auto"/>
              <w:rPr/>
            </w:pPr>
            <w:r w:rsidDel="00000000" w:rsidR="00000000" w:rsidRPr="00000000">
              <w:rPr>
                <w:rtl w:val="0"/>
              </w:rPr>
              <w:t xml:space="preserve">Enclosed, certified 24 V PSU (power supply unit), fuse, latching emergency-stop button, cover switch</w:t>
            </w:r>
          </w:p>
        </w:tc>
        <w:tc>
          <w:tcPr>
            <w:tcMar>
              <w:top w:w="60.0" w:type="dxa"/>
              <w:left w:w="110.0" w:type="dxa"/>
              <w:bottom w:w="60.0" w:type="dxa"/>
              <w:right w:w="110.0" w:type="dxa"/>
            </w:tcMar>
          </w:tcPr>
          <w:p w:rsidR="00000000" w:rsidDel="00000000" w:rsidP="00000000" w:rsidRDefault="00000000" w:rsidRPr="00000000" w14:paraId="00000051">
            <w:pPr>
              <w:spacing w:after="20" w:before="20" w:lineRule="auto"/>
              <w:rPr/>
            </w:pPr>
            <w:r w:rsidDel="00000000" w:rsidR="00000000" w:rsidRPr="00000000">
              <w:rPr>
                <w:rtl w:val="0"/>
              </w:rPr>
              <w:t xml:space="preserve">€40–70</w:t>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52">
            <w:pPr>
              <w:spacing w:after="20" w:before="20" w:lineRule="auto"/>
              <w:rPr/>
            </w:pPr>
            <w:r w:rsidDel="00000000" w:rsidR="00000000" w:rsidRPr="00000000">
              <w:rPr>
                <w:rtl w:val="0"/>
              </w:rPr>
              <w:t xml:space="preserve">Phantom and misc.</w:t>
            </w:r>
          </w:p>
        </w:tc>
        <w:tc>
          <w:tcPr>
            <w:tcMar>
              <w:top w:w="60.0" w:type="dxa"/>
              <w:left w:w="110.0" w:type="dxa"/>
              <w:bottom w:w="60.0" w:type="dxa"/>
              <w:right w:w="110.0" w:type="dxa"/>
            </w:tcMar>
          </w:tcPr>
          <w:p w:rsidR="00000000" w:rsidDel="00000000" w:rsidP="00000000" w:rsidRDefault="00000000" w:rsidRPr="00000000" w14:paraId="00000053">
            <w:pPr>
              <w:spacing w:after="20" w:before="20" w:lineRule="auto"/>
              <w:rPr/>
            </w:pPr>
            <w:r w:rsidDel="00000000" w:rsidR="00000000" w:rsidRPr="00000000">
              <w:rPr>
                <w:rtl w:val="0"/>
              </w:rPr>
              <w:t xml:space="preserve">Clear acrylic tube, 3D-printing filament, fasteners, black flocking paper</w:t>
            </w:r>
          </w:p>
        </w:tc>
        <w:tc>
          <w:tcPr>
            <w:tcMar>
              <w:top w:w="60.0" w:type="dxa"/>
              <w:left w:w="110.0" w:type="dxa"/>
              <w:bottom w:w="60.0" w:type="dxa"/>
              <w:right w:w="110.0" w:type="dxa"/>
            </w:tcMar>
          </w:tcPr>
          <w:p w:rsidR="00000000" w:rsidDel="00000000" w:rsidP="00000000" w:rsidRDefault="00000000" w:rsidRPr="00000000" w14:paraId="00000054">
            <w:pPr>
              <w:spacing w:after="20" w:before="20" w:lineRule="auto"/>
              <w:rPr/>
            </w:pPr>
            <w:r w:rsidDel="00000000" w:rsidR="00000000" w:rsidRPr="00000000">
              <w:rPr>
                <w:rtl w:val="0"/>
              </w:rPr>
              <w:t xml:space="preserve">€40–80</w:t>
            </w:r>
          </w:p>
        </w:tc>
      </w:tr>
      <w:tr>
        <w:trPr>
          <w:cantSplit w:val="0"/>
          <w:tblHeader w:val="0"/>
        </w:trPr>
        <w:tc>
          <w:tcPr>
            <w:tcMar>
              <w:top w:w="60.0" w:type="dxa"/>
              <w:left w:w="110.0" w:type="dxa"/>
              <w:bottom w:w="60.0" w:type="dxa"/>
              <w:right w:w="110.0" w:type="dxa"/>
            </w:tcMar>
          </w:tcPr>
          <w:p w:rsidR="00000000" w:rsidDel="00000000" w:rsidP="00000000" w:rsidRDefault="00000000" w:rsidRPr="00000000" w14:paraId="00000055">
            <w:pPr>
              <w:spacing w:after="20" w:before="20" w:lineRule="auto"/>
              <w:rPr/>
            </w:pPr>
            <w:r w:rsidDel="00000000" w:rsidR="00000000" w:rsidRPr="00000000">
              <w:rPr>
                <w:b w:val="1"/>
                <w:bCs w:val="1"/>
                <w:rtl w:val="0"/>
              </w:rPr>
              <w:t xml:space="preserve">Total</w:t>
            </w:r>
            <w:r w:rsidDel="00000000" w:rsidR="00000000" w:rsidRPr="00000000">
              <w:rPr>
                <w:rtl w:val="0"/>
              </w:rPr>
            </w:r>
          </w:p>
        </w:tc>
        <w:tc>
          <w:tcPr>
            <w:tcMar>
              <w:top w:w="60.0" w:type="dxa"/>
              <w:left w:w="110.0" w:type="dxa"/>
              <w:bottom w:w="60.0" w:type="dxa"/>
              <w:right w:w="110.0" w:type="dxa"/>
            </w:tcMar>
          </w:tcPr>
          <w:p w:rsidR="00000000" w:rsidDel="00000000" w:rsidP="00000000" w:rsidRDefault="00000000" w:rsidRPr="00000000" w14:paraId="00000056">
            <w:pPr>
              <w:spacing w:after="20" w:before="20" w:lineRule="auto"/>
              <w:rPr/>
            </w:pPr>
            <w:r w:rsidDel="00000000" w:rsidR="00000000" w:rsidRPr="00000000">
              <w:rPr>
                <w:rtl w:val="0"/>
              </w:rPr>
            </w:r>
          </w:p>
        </w:tc>
        <w:tc>
          <w:tcPr>
            <w:tcMar>
              <w:top w:w="60.0" w:type="dxa"/>
              <w:left w:w="110.0" w:type="dxa"/>
              <w:bottom w:w="60.0" w:type="dxa"/>
              <w:right w:w="110.0" w:type="dxa"/>
            </w:tcMar>
          </w:tcPr>
          <w:p w:rsidR="00000000" w:rsidDel="00000000" w:rsidP="00000000" w:rsidRDefault="00000000" w:rsidRPr="00000000" w14:paraId="00000057">
            <w:pPr>
              <w:spacing w:after="20" w:before="20" w:lineRule="auto"/>
              <w:rPr/>
            </w:pPr>
            <w:r w:rsidDel="00000000" w:rsidR="00000000" w:rsidRPr="00000000">
              <w:rPr>
                <w:b w:val="1"/>
                <w:bCs w:val="1"/>
                <w:rtl w:val="0"/>
              </w:rPr>
              <w:t xml:space="preserve">about €500–1,000</w:t>
            </w:r>
            <w:r w:rsidDel="00000000" w:rsidR="00000000" w:rsidRPr="00000000">
              <w:rPr>
                <w:rtl w:val="0"/>
              </w:rPr>
            </w:r>
          </w:p>
        </w:tc>
      </w:tr>
    </w:tbl>
    <w:p w:rsidR="00000000" w:rsidDel="00000000" w:rsidP="00000000" w:rsidRDefault="00000000" w:rsidRPr="00000000" w14:paraId="00000058">
      <w:pPr>
        <w:spacing w:after="160" w:lineRule="auto"/>
        <w:rPr/>
      </w:pPr>
      <w:r w:rsidDel="00000000" w:rsidR="00000000" w:rsidRPr="00000000">
        <w:rPr>
          <w:rtl w:val="0"/>
        </w:rPr>
      </w:r>
    </w:p>
    <w:p w:rsidR="00000000" w:rsidDel="00000000" w:rsidP="00000000" w:rsidRDefault="00000000" w:rsidRPr="00000000" w14:paraId="00000059">
      <w:pPr>
        <w:pStyle w:val="Heading1"/>
        <w:pBdr>
          <w:bottom w:color="bfbfbf" w:space="4" w:sz="6" w:val="single"/>
        </w:pBdr>
        <w:spacing w:after="120" w:before="320" w:lineRule="auto"/>
        <w:rPr/>
      </w:pPr>
      <w:r w:rsidDel="00000000" w:rsidR="00000000" w:rsidRPr="00000000">
        <w:rPr>
          <w:rtl w:val="0"/>
        </w:rPr>
        <w:t xml:space="preserve">2. Build steps</w:t>
      </w:r>
    </w:p>
    <w:p w:rsidR="00000000" w:rsidDel="00000000" w:rsidP="00000000" w:rsidRDefault="00000000" w:rsidRPr="00000000" w14:paraId="0000005A">
      <w:pPr>
        <w:pStyle w:val="Heading2"/>
        <w:spacing w:after="90" w:before="240" w:lineRule="auto"/>
        <w:rPr/>
      </w:pPr>
      <w:r w:rsidDel="00000000" w:rsidR="00000000" w:rsidRPr="00000000">
        <w:rPr>
          <w:rtl w:val="0"/>
        </w:rPr>
        <w:t xml:space="preserve">Step 1: Test the optics on the bench first</w:t>
      </w:r>
    </w:p>
    <w:p w:rsidR="00000000" w:rsidDel="00000000" w:rsidP="00000000" w:rsidRDefault="00000000" w:rsidRPr="00000000" w14:paraId="0000005B">
      <w:pPr>
        <w:spacing w:after="120" w:before="60" w:line="280" w:lineRule="auto"/>
        <w:rPr/>
      </w:pPr>
      <w:r w:rsidDel="00000000" w:rsidR="00000000" w:rsidRPr="00000000">
        <w:rPr>
          <w:rtl w:val="0"/>
        </w:rPr>
        <w:t xml:space="preserve">Do this before building any mechanics, because it decides whether the whole concept works with your parts.</w:t>
      </w:r>
    </w:p>
    <w:p w:rsidR="00000000" w:rsidDel="00000000" w:rsidP="00000000" w:rsidRDefault="00000000" w:rsidRPr="00000000" w14:paraId="0000005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Remove the backlight and diffuser layers from the LCD module so only the glass panel with its polarisers remains. Check teardown photos before buying: some modules have the backlight laminated to the panel.</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Place the LED + pinhole, the LCD at 140 mm, and a white card at 250 mm on a ruler or piece of extrusion.</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Display a white shape on black. You should see a sharp, magnified shape on the card.</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Check the brightness. Colour LCDs pass only a few percent of the light, so you may need a brighter LED or a monochrome panel.</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Look for </w:t>
      </w: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leakage</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black pixels still pass a small amount of light, just as closed MLC leaves do. Note how much, because it's a teaching point later.</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Test with a room light on and off to see what ambient level your demo will tolerate.</w:t>
      </w:r>
      <w:r w:rsidDel="00000000" w:rsidR="00000000" w:rsidRPr="00000000">
        <w:rPr>
          <w:rtl w:val="0"/>
        </w:rPr>
      </w:r>
    </w:p>
    <w:p w:rsidR="00000000" w:rsidDel="00000000" w:rsidP="00000000" w:rsidRDefault="00000000" w:rsidRPr="00000000" w14:paraId="00000062">
      <w:pPr>
        <w:pStyle w:val="Heading2"/>
        <w:spacing w:after="90" w:before="240" w:lineRule="auto"/>
        <w:rPr/>
      </w:pPr>
      <w:r w:rsidDel="00000000" w:rsidR="00000000" w:rsidRPr="00000000">
        <w:rPr>
          <w:rtl w:val="0"/>
        </w:rPr>
        <w:t xml:space="preserve">Step 2: Base and stand</w:t>
      </w:r>
    </w:p>
    <w:p w:rsidR="00000000" w:rsidDel="00000000" w:rsidP="00000000" w:rsidRDefault="00000000" w:rsidRPr="00000000" w14:paraId="0000006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Build a rectangular 2040 frame of about 450 × 300 mm and screw it to a heavy base (18 mm plywood or a stone tile). The mass damps vibration.</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Put a vertical tower at the +Y end that holds the gantry bearing about 325 mm above the base.</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Square everything with a machinist's square and level the base. The flatness of the gantry rotation plane starts here.</w:t>
      </w:r>
      <w:r w:rsidDel="00000000" w:rsidR="00000000" w:rsidRPr="00000000">
        <w:rPr>
          <w:rtl w:val="0"/>
        </w:rPr>
      </w:r>
    </w:p>
    <w:p w:rsidR="00000000" w:rsidDel="00000000" w:rsidP="00000000" w:rsidRDefault="00000000" w:rsidRPr="00000000" w14:paraId="00000066">
      <w:pPr>
        <w:pStyle w:val="Heading2"/>
        <w:spacing w:after="90" w:before="240" w:lineRule="auto"/>
        <w:rPr/>
      </w:pPr>
      <w:r w:rsidDel="00000000" w:rsidR="00000000" w:rsidRPr="00000000">
        <w:rPr>
          <w:rtl w:val="0"/>
        </w:rPr>
        <w:t xml:space="preserve">Step 3: Gantry</w:t>
      </w:r>
    </w:p>
    <w:p w:rsidR="00000000" w:rsidDel="00000000" w:rsidP="00000000" w:rsidRDefault="00000000" w:rsidRPr="00000000" w14:paraId="0000006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Bearing:</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mount a 20 mm steel shaft in two 6004 bearings spaced at least 60 mm apart in a rigid housing (or use a slewing ring). Wide bearing spacing is what keeps the isocentre small. Leave a path for cables.</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Drive:</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use a NEMA 17 motor with a 10:1 GT2 belt reduction. At 16 microsteps this is about 0.011° per step in theory; belt stretch and backlash make the real figure worse, which is why the encoder matters.</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Arm:</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make a C-shaped arm (6 mm aluminium plate or a braced 2020 truss) that reaches from the drum over the isocentre, so the head sits in the Y = 0 plane with the source 250 mm from the axis. Stiffness matters: an arm that sags differently at each angle makes the isocentre wander, just as gantry sag does on real machines.</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Counterweight and portal screen:</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on the opposite side, mount a counterweight that also carries a tracing-paper screen with a webcam behind it. This is your EPID (electronic portal imaging device) analogue. Balance the gantry so it stays put at any angle with the motor unpowered; motion becomes smoother and more accurate.</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Encoder:</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glue a diametric magnet to the shaft end and mount the AS5048A on the stand.</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Limits:</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restrict rotation to about ±185°, like clinical machines, so a simple cable wrap works without slip rings. Set soft limits in firmware and add a hard mechanical stop.</w:t>
      </w:r>
      <w:r w:rsidDel="00000000" w:rsidR="00000000" w:rsidRPr="00000000">
        <w:rPr>
          <w:rtl w:val="0"/>
        </w:rPr>
      </w:r>
    </w:p>
    <w:p w:rsidR="00000000" w:rsidDel="00000000" w:rsidP="00000000" w:rsidRDefault="00000000" w:rsidRPr="00000000" w14:paraId="0000006D">
      <w:pPr>
        <w:pStyle w:val="Heading2"/>
        <w:spacing w:after="90" w:before="240" w:lineRule="auto"/>
        <w:rPr/>
      </w:pPr>
      <w:r w:rsidDel="00000000" w:rsidR="00000000" w:rsidRPr="00000000">
        <w:rPr>
          <w:rtl w:val="0"/>
        </w:rPr>
        <w:t xml:space="preserve">Step 4: Treatment head</w:t>
      </w:r>
    </w:p>
    <w:p w:rsidR="00000000" w:rsidDel="00000000" w:rsidP="00000000" w:rsidRDefault="00000000" w:rsidRPr="00000000" w14:paraId="0000006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Source:</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fix the LED to a heatsink and put the pinhole directly against the emitter. You can drill it in thin brass shim and blacken it.</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LCD:</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mount it at SCD = 140 mm, perpendicular to the beam axis, in a holder with slotted holes for fine centring.</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Light-tight housing:</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enclose the path between source and LCD in a tube lined with black flocking paper, with one or two baffles. This kills stray reflections, the analogue of head shielding.</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Collimator rotation:</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start by rotating the image in software, which saves an axis. Add a physical rotating collimator later if you want to teach the related QA (quality assurance) tests.</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Crosshair and light field:</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no extra hardware is needed; the LCD draws them.</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Wiring:</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use a short ribbon cable to the main Pi. Alternatively, put a Raspberry Pi Zero 2 W inside the head to drive the LCD and LED, so only power has to cross the rotating joint.</w:t>
      </w:r>
      <w:r w:rsidDel="00000000" w:rsidR="00000000" w:rsidRPr="00000000">
        <w:rPr>
          <w:rtl w:val="0"/>
        </w:rPr>
      </w:r>
    </w:p>
    <w:p w:rsidR="00000000" w:rsidDel="00000000" w:rsidP="00000000" w:rsidRDefault="00000000" w:rsidRPr="00000000" w14:paraId="00000074">
      <w:pPr>
        <w:pStyle w:val="Heading2"/>
        <w:spacing w:after="90" w:before="240" w:lineRule="auto"/>
        <w:rPr/>
      </w:pPr>
      <w:r w:rsidDel="00000000" w:rsidR="00000000" w:rsidRPr="00000000">
        <w:rPr>
          <w:rtl w:val="0"/>
        </w:rPr>
        <w:t xml:space="preserve">Step 5: Couch</w:t>
      </w:r>
    </w:p>
    <w:p w:rsidR="00000000" w:rsidDel="00000000" w:rsidP="00000000" w:rsidRDefault="00000000" w:rsidRPr="00000000" w14:paraId="0000007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Phase 1:</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use a manual aluminium XYZ stage with a tube holder. It's enough for the heart demo.</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Phase 2 (motorised):</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stack the axes from the bottom up: rotation turntable (its vertical axis must pass through the isocentre), then vertical, lateral and longitudinal axes, then the tabletop.</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Tube mounting:</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cantilever the tube from the foot end (−Y side) so the gantry arm clears it.</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Clearance check:</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before powering anything, rotate the gantry by hand through its full range with the tube in place.</w:t>
      </w:r>
      <w:r w:rsidDel="00000000" w:rsidR="00000000" w:rsidRPr="00000000">
        <w:rPr>
          <w:rtl w:val="0"/>
        </w:rPr>
      </w:r>
    </w:p>
    <w:p w:rsidR="00000000" w:rsidDel="00000000" w:rsidP="00000000" w:rsidRDefault="00000000" w:rsidRPr="00000000" w14:paraId="00000079">
      <w:pPr>
        <w:pStyle w:val="Heading2"/>
        <w:spacing w:after="90" w:before="240" w:lineRule="auto"/>
        <w:rPr/>
      </w:pPr>
      <w:r w:rsidDel="00000000" w:rsidR="00000000" w:rsidRPr="00000000">
        <w:rPr>
          <w:rtl w:val="0"/>
        </w:rPr>
        <w:t xml:space="preserve">Step 6: Electronics and interlocks</w:t>
      </w:r>
    </w:p>
    <w:p w:rsidR="00000000" w:rsidDel="00000000" w:rsidP="00000000" w:rsidRDefault="00000000" w:rsidRPr="00000000" w14:paraId="0000007A">
      <w:pPr>
        <w:spacing w:after="60" w:before="140" w:lineRule="auto"/>
        <w:jc w:val="center"/>
        <w:rPr/>
      </w:pPr>
      <w:r w:rsidDel="00000000" w:rsidR="00000000" w:rsidRPr="00000000">
        <w:rPr/>
        <w:drawing>
          <wp:inline distB="0" distT="0" distL="0" distR="0">
            <wp:extent cx="5753100" cy="24479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53100" cy="2447925"/>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spacing w:after="160" w:lineRule="auto"/>
        <w:jc w:val="center"/>
        <w:rPr/>
      </w:pPr>
      <w:r w:rsidDel="00000000" w:rsidR="00000000" w:rsidRPr="00000000">
        <w:rPr>
          <w:i w:val="1"/>
          <w:iCs w:val="1"/>
          <w:color w:val="595959"/>
          <w:sz w:val="18"/>
          <w:szCs w:val="18"/>
          <w:rtl w:val="0"/>
        </w:rPr>
        <w:t xml:space="preserve">Figure 1 — Control electronics and interlock chain.</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Motion:</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the ESP32 runs FluidNC, which supports up to six axes and accepts G-code over USB. Klipper is an alternative.</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Raspberry Pi:</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it plans the control points, draws apertures on the LCD, reads the encoders over SPI (Serial Peripheral Interface), switches the LED through a GPIO (general-purpose input/output) pin, and handles the cameras.</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Interlock logic:</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the LED may only switch on when:</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40" w:before="40" w:line="280" w:lineRule="auto"/>
        <w:ind w:left="84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all axes are idle,</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40" w:before="40" w:line="280" w:lineRule="auto"/>
        <w:ind w:left="84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the encoder readings match the planned angles within tolerance (e.g. 0.2°),</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40" w:before="40" w:line="280" w:lineRule="auto"/>
        <w:ind w:left="84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the correct aperture is displayed,</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40" w:before="40" w:line="280" w:lineRule="auto"/>
        <w:ind w:left="84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the emergency stop is released and the cover is closed.</w:t>
      </w:r>
      <w:r w:rsidDel="00000000" w:rsidR="00000000" w:rsidRPr="00000000">
        <w:rPr>
          <w:rtl w:val="0"/>
        </w:rPr>
      </w:r>
    </w:p>
    <w:p w:rsidR="00000000" w:rsidDel="00000000" w:rsidP="00000000" w:rsidRDefault="00000000" w:rsidRPr="00000000" w14:paraId="00000083">
      <w:pPr>
        <w:spacing w:after="120" w:before="60" w:line="280" w:lineRule="auto"/>
        <w:ind w:left="420" w:firstLine="0"/>
        <w:rPr/>
      </w:pPr>
      <w:r w:rsidDel="00000000" w:rsidR="00000000" w:rsidRPr="00000000">
        <w:rPr>
          <w:rtl w:val="0"/>
        </w:rPr>
        <w:t xml:space="preserve">This mirrors real LINAC beam interlocks and is worth showing to students.</w:t>
      </w:r>
    </w:p>
    <w:p w:rsidR="00000000" w:rsidDel="00000000" w:rsidP="00000000" w:rsidRDefault="00000000" w:rsidRPr="00000000" w14:paraId="000000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Emergency stop:</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it must cut motor and LED power physically, not just in software.</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Mains safety:</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use only an enclosed, certified PSU with a fuse, and leave no exposed mains wiring.</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Patient-safe motion:</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keep motor currents low and speeds slow, so the gantry stalls rather than pinches. Near patients, add a clear cover or a ring-shaped guard.</w:t>
      </w:r>
      <w:r w:rsidDel="00000000" w:rsidR="00000000" w:rsidRPr="00000000">
        <w:rPr>
          <w:rtl w:val="0"/>
        </w:rPr>
      </w:r>
    </w:p>
    <w:p w:rsidR="00000000" w:rsidDel="00000000" w:rsidP="00000000" w:rsidRDefault="00000000" w:rsidRPr="00000000" w14:paraId="00000087">
      <w:pPr>
        <w:pStyle w:val="Heading2"/>
        <w:spacing w:after="90" w:before="240" w:lineRule="auto"/>
        <w:rPr/>
      </w:pPr>
      <w:r w:rsidDel="00000000" w:rsidR="00000000" w:rsidRPr="00000000">
        <w:rPr>
          <w:rtl w:val="0"/>
        </w:rPr>
        <w:t xml:space="preserve">Step 7: Software</w:t>
      </w:r>
    </w:p>
    <w:p w:rsidR="00000000" w:rsidDel="00000000" w:rsidP="00000000" w:rsidRDefault="00000000" w:rsidRPr="00000000" w14:paraId="00000088">
      <w:pPr>
        <w:spacing w:after="120" w:before="60" w:line="280" w:lineRule="auto"/>
        <w:rPr/>
      </w:pPr>
      <w:r w:rsidDel="00000000" w:rsidR="00000000" w:rsidRPr="00000000">
        <w:rPr>
          <w:rtl w:val="0"/>
        </w:rPr>
        <w:t xml:space="preserve">Organise it in four parts:</w:t>
      </w:r>
    </w:p>
    <w:p w:rsidR="00000000" w:rsidDel="00000000" w:rsidP="00000000" w:rsidRDefault="00000000" w:rsidRPr="00000000" w14:paraId="0000008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Geometry:</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the constants (SAD, SCD, pixel pitch, centre offset, orientation flips).</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Aperture generator:</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from a 3D target (Step 9) or from a DICOM RT Plan.</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Executor:</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moves, verifies encoders, displays apertures and gates the LED.</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Accumulator:</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sums camera frames into a "dose" image.</w:t>
      </w:r>
      <w:r w:rsidDel="00000000" w:rsidR="00000000" w:rsidRPr="00000000">
        <w:rPr>
          <w:rtl w:val="0"/>
        </w:rPr>
      </w:r>
    </w:p>
    <w:p w:rsidR="00000000" w:rsidDel="00000000" w:rsidP="00000000" w:rsidRDefault="00000000" w:rsidRPr="00000000" w14:paraId="0000008D">
      <w:pPr>
        <w:spacing w:after="120" w:before="60" w:line="280" w:lineRule="auto"/>
        <w:rPr/>
      </w:pPr>
      <w:r w:rsidDel="00000000" w:rsidR="00000000" w:rsidRPr="00000000">
        <w:rPr>
          <w:b w:val="1"/>
          <w:bCs w:val="1"/>
          <w:rtl w:val="0"/>
        </w:rPr>
        <w:t xml:space="preserve">Execution:</w:t>
      </w:r>
      <w:r w:rsidDel="00000000" w:rsidR="00000000" w:rsidRPr="00000000">
        <w:rPr>
          <w:rtl w:val="0"/>
        </w:rPr>
        <w:t xml:space="preserve"> start with step-and-shoot (as in IMRT, intensity-modulated radiotherapy): move, verify, show the aperture, beam on, beam off. Later, approximate dynamic arcs like VMAT (volumetric modulated arc therapy) by splitting them into many small segments.</w:t>
      </w:r>
    </w:p>
    <w:p w:rsidR="00000000" w:rsidDel="00000000" w:rsidP="00000000" w:rsidRDefault="00000000" w:rsidRPr="00000000" w14:paraId="0000008E">
      <w:pPr>
        <w:spacing w:after="120" w:before="60" w:line="280" w:lineRule="auto"/>
        <w:rPr/>
      </w:pPr>
      <w:r w:rsidDel="00000000" w:rsidR="00000000" w:rsidRPr="00000000">
        <w:rPr>
          <w:b w:val="1"/>
          <w:bCs w:val="1"/>
          <w:rtl w:val="0"/>
        </w:rPr>
        <w:t xml:space="preserve">Importing real plans with pydicom:</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Walk </w:t>
      </w:r>
      <w:r w:rsidDel="00000000" w:rsidR="00000000" w:rsidRPr="00000000">
        <w:rPr>
          <w:rFonts w:ascii="Consolas" w:cs="Consolas" w:eastAsia="Consolas" w:hAnsi="Consolas"/>
          <w:b w:val="0"/>
          <w:bCs w:val="0"/>
          <w:i w:val="0"/>
          <w:iCs w:val="0"/>
          <w:smallCaps w:val="0"/>
          <w:strike w:val="0"/>
          <w:color w:val="1a1a1a"/>
          <w:sz w:val="19"/>
          <w:szCs w:val="19"/>
          <w:u w:val="none"/>
          <w:shd w:fill="auto" w:val="clear"/>
          <w:vertAlign w:val="baseline"/>
          <w:rtl w:val="0"/>
        </w:rPr>
        <w:t xml:space="preserve">BeamSequence</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 </w:t>
      </w:r>
      <w:r w:rsidDel="00000000" w:rsidR="00000000" w:rsidRPr="00000000">
        <w:rPr>
          <w:rFonts w:ascii="Consolas" w:cs="Consolas" w:eastAsia="Consolas" w:hAnsi="Consolas"/>
          <w:b w:val="0"/>
          <w:bCs w:val="0"/>
          <w:i w:val="0"/>
          <w:iCs w:val="0"/>
          <w:smallCaps w:val="0"/>
          <w:strike w:val="0"/>
          <w:color w:val="1a1a1a"/>
          <w:sz w:val="19"/>
          <w:szCs w:val="19"/>
          <w:u w:val="none"/>
          <w:shd w:fill="auto" w:val="clear"/>
          <w:vertAlign w:val="baseline"/>
          <w:rtl w:val="0"/>
        </w:rPr>
        <w:t xml:space="preserve">ControlPointSequence</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reading </w:t>
      </w:r>
      <w:r w:rsidDel="00000000" w:rsidR="00000000" w:rsidRPr="00000000">
        <w:rPr>
          <w:rFonts w:ascii="Consolas" w:cs="Consolas" w:eastAsia="Consolas" w:hAnsi="Consolas"/>
          <w:b w:val="0"/>
          <w:bCs w:val="0"/>
          <w:i w:val="0"/>
          <w:iCs w:val="0"/>
          <w:smallCaps w:val="0"/>
          <w:strike w:val="0"/>
          <w:color w:val="1a1a1a"/>
          <w:sz w:val="19"/>
          <w:szCs w:val="19"/>
          <w:u w:val="none"/>
          <w:shd w:fill="auto" w:val="clear"/>
          <w:vertAlign w:val="baseline"/>
          <w:rtl w:val="0"/>
        </w:rPr>
        <w:t xml:space="preserve">GantryAngle</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w:t>
      </w:r>
      <w:r w:rsidDel="00000000" w:rsidR="00000000" w:rsidRPr="00000000">
        <w:rPr>
          <w:rFonts w:ascii="Consolas" w:cs="Consolas" w:eastAsia="Consolas" w:hAnsi="Consolas"/>
          <w:b w:val="0"/>
          <w:bCs w:val="0"/>
          <w:i w:val="0"/>
          <w:iCs w:val="0"/>
          <w:smallCaps w:val="0"/>
          <w:strike w:val="0"/>
          <w:color w:val="1a1a1a"/>
          <w:sz w:val="19"/>
          <w:szCs w:val="19"/>
          <w:u w:val="none"/>
          <w:shd w:fill="auto" w:val="clear"/>
          <w:vertAlign w:val="baseline"/>
          <w:rtl w:val="0"/>
        </w:rPr>
        <w:t xml:space="preserve">BeamLimitingDeviceAngle</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w:t>
      </w:r>
      <w:r w:rsidDel="00000000" w:rsidR="00000000" w:rsidRPr="00000000">
        <w:rPr>
          <w:rFonts w:ascii="Consolas" w:cs="Consolas" w:eastAsia="Consolas" w:hAnsi="Consolas"/>
          <w:b w:val="0"/>
          <w:bCs w:val="0"/>
          <w:i w:val="0"/>
          <w:iCs w:val="0"/>
          <w:smallCaps w:val="0"/>
          <w:strike w:val="0"/>
          <w:color w:val="1a1a1a"/>
          <w:sz w:val="19"/>
          <w:szCs w:val="19"/>
          <w:u w:val="none"/>
          <w:shd w:fill="auto" w:val="clear"/>
          <w:vertAlign w:val="baseline"/>
          <w:rtl w:val="0"/>
        </w:rPr>
        <w:t xml:space="preserve">PatientSupportAngle</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and the </w:t>
      </w:r>
      <w:r w:rsidDel="00000000" w:rsidR="00000000" w:rsidRPr="00000000">
        <w:rPr>
          <w:rFonts w:ascii="Consolas" w:cs="Consolas" w:eastAsia="Consolas" w:hAnsi="Consolas"/>
          <w:b w:val="0"/>
          <w:bCs w:val="0"/>
          <w:i w:val="0"/>
          <w:iCs w:val="0"/>
          <w:smallCaps w:val="0"/>
          <w:strike w:val="0"/>
          <w:color w:val="1a1a1a"/>
          <w:sz w:val="19"/>
          <w:szCs w:val="19"/>
          <w:u w:val="none"/>
          <w:shd w:fill="auto" w:val="clear"/>
          <w:vertAlign w:val="baseline"/>
          <w:rtl w:val="0"/>
        </w:rPr>
        <w:t xml:space="preserve">LeafJawPositions</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inside </w:t>
      </w:r>
      <w:r w:rsidDel="00000000" w:rsidR="00000000" w:rsidRPr="00000000">
        <w:rPr>
          <w:rFonts w:ascii="Consolas" w:cs="Consolas" w:eastAsia="Consolas" w:hAnsi="Consolas"/>
          <w:b w:val="0"/>
          <w:bCs w:val="0"/>
          <w:i w:val="0"/>
          <w:iCs w:val="0"/>
          <w:smallCaps w:val="0"/>
          <w:strike w:val="0"/>
          <w:color w:val="1a1a1a"/>
          <w:sz w:val="19"/>
          <w:szCs w:val="19"/>
          <w:u w:val="none"/>
          <w:shd w:fill="auto" w:val="clear"/>
          <w:vertAlign w:val="baseline"/>
          <w:rtl w:val="0"/>
        </w:rPr>
        <w:t xml:space="preserve">BeamLimitingDevicePositionSequence</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Leaf positions are given in mm projected to the isocentre plane. Leaf widths come from </w:t>
      </w:r>
      <w:r w:rsidDel="00000000" w:rsidR="00000000" w:rsidRPr="00000000">
        <w:rPr>
          <w:rFonts w:ascii="Consolas" w:cs="Consolas" w:eastAsia="Consolas" w:hAnsi="Consolas"/>
          <w:b w:val="0"/>
          <w:bCs w:val="0"/>
          <w:i w:val="0"/>
          <w:iCs w:val="0"/>
          <w:smallCaps w:val="0"/>
          <w:strike w:val="0"/>
          <w:color w:val="1a1a1a"/>
          <w:sz w:val="19"/>
          <w:szCs w:val="19"/>
          <w:u w:val="none"/>
          <w:shd w:fill="auto" w:val="clear"/>
          <w:vertAlign w:val="baseline"/>
          <w:rtl w:val="0"/>
        </w:rPr>
        <w:t xml:space="preserve">LeafPositionBoundaries</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in the beam's </w:t>
      </w:r>
      <w:r w:rsidDel="00000000" w:rsidR="00000000" w:rsidRPr="00000000">
        <w:rPr>
          <w:rFonts w:ascii="Consolas" w:cs="Consolas" w:eastAsia="Consolas" w:hAnsi="Consolas"/>
          <w:b w:val="0"/>
          <w:bCs w:val="0"/>
          <w:i w:val="0"/>
          <w:iCs w:val="0"/>
          <w:smallCaps w:val="0"/>
          <w:strike w:val="0"/>
          <w:color w:val="1a1a1a"/>
          <w:sz w:val="19"/>
          <w:szCs w:val="19"/>
          <w:u w:val="none"/>
          <w:shd w:fill="auto" w:val="clear"/>
          <w:vertAlign w:val="baseline"/>
          <w:rtl w:val="0"/>
        </w:rPr>
        <w:t xml:space="preserve">BeamLimitingDeviceSequence</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Later control points omit values that don't change, so carry the previous ones forward.</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Convert a clinical isocentre-plane position x (mm) to an LCD pixel with: </w:t>
      </w:r>
      <w:r w:rsidDel="00000000" w:rsidR="00000000" w:rsidRPr="00000000">
        <w:rPr>
          <w:rFonts w:ascii="Consolas" w:cs="Consolas" w:eastAsia="Consolas" w:hAnsi="Consolas"/>
          <w:b w:val="0"/>
          <w:bCs w:val="0"/>
          <w:i w:val="0"/>
          <w:iCs w:val="0"/>
          <w:smallCaps w:val="0"/>
          <w:strike w:val="0"/>
          <w:color w:val="1a1a1a"/>
          <w:sz w:val="19"/>
          <w:szCs w:val="19"/>
          <w:u w:val="none"/>
          <w:shd w:fill="auto" w:val="clear"/>
          <w:vertAlign w:val="baseline"/>
          <w:rtl w:val="0"/>
        </w:rPr>
        <w:t xml:space="preserve">pixel = (x / 4) × (SCD / SAD) / pixel_pitch + centre_offset</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3">
      <w:pPr>
        <w:pStyle w:val="Heading2"/>
        <w:spacing w:after="90" w:before="240" w:lineRule="auto"/>
        <w:rPr/>
      </w:pPr>
      <w:r w:rsidDel="00000000" w:rsidR="00000000" w:rsidRPr="00000000">
        <w:rPr>
          <w:rtl w:val="0"/>
        </w:rPr>
        <w:t xml:space="preserve">Step 8: Calibration and QA</w:t>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Beam axis:</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at gantry 0°, project a centred crosshair onto graph paper and move the paper up and down by ±50 mm. Adjust the software centre pixel until the crosshair centre no longer drifts.</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Scale and orientation:</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project a 20 × 20 mm square (sized for the isocentre plane) and an asymmetric letter "F". Measure the square and correct the pixel-pitch constant; fix any mirroring or rotation. This is the same trick used clinically to catch flipped images.</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Isocentre (Winston-Lutz test):</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40" w:before="40" w:line="280" w:lineRule="auto"/>
        <w:ind w:left="84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Put a 5 mm steel ball on a pin at the estimated isocentre.</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40" w:before="40" w:line="280" w:lineRule="auto"/>
        <w:ind w:left="84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Use a 15 × 15 mm field and record the ball's shadow on the portal screen at 8 gantry angles.</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40" w:before="40" w:line="280" w:lineRule="auto"/>
        <w:ind w:left="84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Compute the offset between the ball and the field centre at each angle, then adjust the couch until the offsets are smallest.</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40" w:before="40" w:line="280" w:lineRule="auto"/>
        <w:ind w:left="84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The remaining spread is your mechanical isocentre size. Aim for 0.5–1 mm (2–4 mm clinical equivalent).</w:t>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Star shot:</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project a 1–2 pixel slit, long along the tube axis, into a closed clear box with a little haze (from a small fog machine or incense, in the workshop only). Photograph along the rotation axis with a long exposure. The lines should all pass through one small circle.</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Room lasers:</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align the three line lasers to the ball once the isocentre is found.</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Couch rotation (phase 2):</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check that a point at the isocentre stays put while the couch rotates.</w:t>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QA log:</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keep one, and repeat the checks after transport or adjustments.</w:t>
      </w:r>
      <w:r w:rsidDel="00000000" w:rsidR="00000000" w:rsidRPr="00000000">
        <w:rPr>
          <w:rtl w:val="0"/>
        </w:rPr>
      </w:r>
    </w:p>
    <w:p w:rsidR="00000000" w:rsidDel="00000000" w:rsidP="00000000" w:rsidRDefault="00000000" w:rsidRPr="00000000" w14:paraId="0000009F">
      <w:pPr>
        <w:pStyle w:val="Heading2"/>
        <w:spacing w:after="90" w:before="240" w:lineRule="auto"/>
        <w:rPr/>
      </w:pPr>
      <w:r w:rsidDel="00000000" w:rsidR="00000000" w:rsidRPr="00000000">
        <w:rPr>
          <w:rtl w:val="0"/>
        </w:rPr>
        <w:t xml:space="preserve">Step 9: The heart-in-a-tube demo</w:t>
      </w:r>
    </w:p>
    <w:p w:rsidR="00000000" w:rsidDel="00000000" w:rsidP="00000000" w:rsidRDefault="00000000" w:rsidRPr="00000000" w14:paraId="000000A0">
      <w:pPr>
        <w:pStyle w:val="Heading3"/>
        <w:spacing w:after="80" w:before="200" w:lineRule="auto"/>
        <w:rPr/>
      </w:pPr>
      <w:r w:rsidDel="00000000" w:rsidR="00000000" w:rsidRPr="00000000">
        <w:rPr>
          <w:rtl w:val="0"/>
        </w:rPr>
        <w:t xml:space="preserve">9.1 Choose the heart's orientation carefully</w:t>
      </w:r>
    </w:p>
    <w:p w:rsidR="00000000" w:rsidDel="00000000" w:rsidP="00000000" w:rsidRDefault="00000000" w:rsidRPr="00000000" w14:paraId="000000A1">
      <w:pPr>
        <w:spacing w:after="120" w:before="60" w:line="280" w:lineRule="auto"/>
        <w:rPr/>
      </w:pPr>
      <w:r w:rsidDel="00000000" w:rsidR="00000000" w:rsidRPr="00000000">
        <w:rPr>
          <w:rtl w:val="0"/>
        </w:rPr>
        <w:t xml:space="preserve">With an arc around the Y axis, each slice of the target perpendicular to Y is effectively rebuilt as its </w:t>
      </w:r>
      <w:r w:rsidDel="00000000" w:rsidR="00000000" w:rsidRPr="00000000">
        <w:rPr>
          <w:b w:val="1"/>
          <w:bCs w:val="1"/>
          <w:rtl w:val="0"/>
        </w:rPr>
        <w:t xml:space="preserve">convex hull</w:t>
      </w:r>
      <w:r w:rsidDel="00000000" w:rsidR="00000000" w:rsidRPr="00000000">
        <w:rPr>
          <w:rtl w:val="0"/>
        </w:rPr>
        <w:t xml:space="preserve">. Concave details within a slice get filled in. So:</w:t>
      </w:r>
    </w:p>
    <w:p w:rsidR="00000000" w:rsidDel="00000000" w:rsidP="00000000" w:rsidRDefault="00000000" w:rsidRPr="00000000" w14:paraId="000000A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Don't</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align the heart's axis with the tube. The slices through the two lobes would each contain two separate blobs, and the notch would fill in.</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Do</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lay the heart so its axis is vertical (Z) and its lobes spread along the tube (Y), as if the heart were standing upright inside the tube. Every slice is then a single convex shape, and the notch survives because it is formed *between* slices.</w:t>
      </w:r>
      <w:r w:rsidDel="00000000" w:rsidR="00000000" w:rsidRPr="00000000">
        <w:rPr>
          <w:rtl w:val="0"/>
        </w:rPr>
      </w:r>
    </w:p>
    <w:p w:rsidR="00000000" w:rsidDel="00000000" w:rsidP="00000000" w:rsidRDefault="00000000" w:rsidRPr="00000000" w14:paraId="000000A4">
      <w:pPr>
        <w:spacing w:after="120" w:before="60" w:line="280" w:lineRule="auto"/>
        <w:rPr/>
      </w:pPr>
      <w:r w:rsidDel="00000000" w:rsidR="00000000" w:rsidRPr="00000000">
        <w:rPr>
          <w:rtl w:val="0"/>
        </w:rPr>
        <w:t xml:space="preserve">The code below "inflates" such a heart so that every slice is a disc. Seen from the side (gantry 90° or 270°), the silhouette is exactly the heart, and the MLC aperture changes shape along the arc, just as in VMAT.</w:t>
      </w:r>
    </w:p>
    <w:p w:rsidR="00000000" w:rsidDel="00000000" w:rsidP="00000000" w:rsidRDefault="00000000" w:rsidRPr="00000000" w14:paraId="000000A5">
      <w:pPr>
        <w:pStyle w:val="Heading3"/>
        <w:spacing w:after="80" w:before="200" w:lineRule="auto"/>
        <w:rPr/>
      </w:pPr>
      <w:r w:rsidDel="00000000" w:rsidR="00000000" w:rsidRPr="00000000">
        <w:rPr>
          <w:rtl w:val="0"/>
        </w:rPr>
        <w:t xml:space="preserve">9.2 Phantom</w:t>
      </w:r>
    </w:p>
    <w:p w:rsidR="00000000" w:rsidDel="00000000" w:rsidP="00000000" w:rsidRDefault="00000000" w:rsidRPr="00000000" w14:paraId="000000A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Tube:</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use a clear tube of about 50 mm diameter, coaxial with the rotation axis and centred on the isocentre, held from the foot end.</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Quick version:</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fill it with water plus a few drops of milk. Tune the amount so each beam is clearly visible but still exits the tube, and refresh it daily.</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Permanent version:</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cast clear resin with a trace of white pigment. Test small samples first.</w:t>
      </w:r>
      <w:r w:rsidDel="00000000" w:rsidR="00000000" w:rsidRPr="00000000">
        <w:rPr>
          <w:rtl w:val="0"/>
        </w:rPr>
      </w:r>
    </w:p>
    <w:p w:rsidR="00000000" w:rsidDel="00000000" w:rsidP="00000000" w:rsidRDefault="00000000" w:rsidRPr="00000000" w14:paraId="000000A9">
      <w:pPr>
        <w:pStyle w:val="Heading3"/>
        <w:spacing w:after="80" w:before="200" w:lineRule="auto"/>
        <w:rPr/>
      </w:pPr>
      <w:r w:rsidDel="00000000" w:rsidR="00000000" w:rsidRPr="00000000">
        <w:rPr>
          <w:rtl w:val="0"/>
        </w:rPr>
        <w:t xml:space="preserve">9.3 Refraction</w:t>
      </w:r>
    </w:p>
    <w:p w:rsidR="00000000" w:rsidDel="00000000" w:rsidP="00000000" w:rsidRDefault="00000000" w:rsidRPr="00000000" w14:paraId="000000AA">
      <w:pPr>
        <w:spacing w:after="120" w:before="60" w:line="280" w:lineRule="auto"/>
        <w:rPr/>
      </w:pPr>
      <w:r w:rsidDel="00000000" w:rsidR="00000000" w:rsidRPr="00000000">
        <w:rPr>
          <w:rtl w:val="0"/>
        </w:rPr>
        <w:t xml:space="preserve">A liquid- or resin-filled cylinder acts as a lens and bends off-axis rays. Because the cylinder is centred on the rotation axis, the distortion is identical at every gantry angle, so it can be corrected:</w:t>
      </w:r>
    </w:p>
    <w:p w:rsidR="00000000" w:rsidDel="00000000" w:rsidP="00000000" w:rsidRDefault="00000000" w:rsidRPr="00000000" w14:paraId="000000A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For each LCD pixel, trace the ray from the source.</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Refract it at the wall with the vector form of Snell's law: </w:t>
      </w: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t = η·i + (η·cos θi − cos θt)·n</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where η = n₁/n₂.</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Open the pixel if the refracted ray passes through the target.</w:t>
      </w:r>
      <w:r w:rsidDel="00000000" w:rsidR="00000000" w:rsidRPr="00000000">
        <w:rPr>
          <w:rtl w:val="0"/>
        </w:rPr>
      </w:r>
    </w:p>
    <w:p w:rsidR="00000000" w:rsidDel="00000000" w:rsidP="00000000" w:rsidRDefault="00000000" w:rsidRPr="00000000" w14:paraId="000000AE">
      <w:pPr>
        <w:spacing w:after="120" w:before="60" w:line="280" w:lineRule="auto"/>
        <w:rPr/>
      </w:pPr>
      <w:r w:rsidDel="00000000" w:rsidR="00000000" w:rsidRPr="00000000">
        <w:rPr>
          <w:rtl w:val="0"/>
        </w:rPr>
        <w:t xml:space="preserve">This is a nice analogue of heterogeneity correction in treatment planning. For a first test, run without correction, look at the distorted result, then compare it with the corrected run.</w:t>
      </w:r>
    </w:p>
    <w:p w:rsidR="00000000" w:rsidDel="00000000" w:rsidP="00000000" w:rsidRDefault="00000000" w:rsidRPr="00000000" w14:paraId="000000AF">
      <w:pPr>
        <w:pStyle w:val="Heading3"/>
        <w:spacing w:after="80" w:before="200" w:lineRule="auto"/>
        <w:rPr/>
      </w:pPr>
      <w:r w:rsidDel="00000000" w:rsidR="00000000" w:rsidRPr="00000000">
        <w:rPr>
          <w:rtl w:val="0"/>
        </w:rPr>
        <w:t xml:space="preserve">9.4 Computing the apertures (without refraction)</w:t>
      </w:r>
    </w:p>
    <w:p w:rsidR="00000000" w:rsidDel="00000000" w:rsidP="00000000" w:rsidRDefault="00000000" w:rsidRPr="00000000" w14:paraId="000000B0">
      <w:pPr>
        <w:keepNext w:val="1"/>
        <w:keepLines w:val="1"/>
        <w:shd w:fill="f2f4f7" w:val="clear"/>
        <w:spacing w:after="0" w:before="120" w:line="250" w:lineRule="auto"/>
        <w:ind w:left="170" w:right="170" w:firstLine="0"/>
        <w:rPr/>
      </w:pPr>
      <w:r w:rsidDel="00000000" w:rsidR="00000000" w:rsidRPr="00000000">
        <w:rPr>
          <w:rFonts w:ascii="Consolas" w:cs="Consolas" w:eastAsia="Consolas" w:hAnsi="Consolas"/>
          <w:sz w:val="17"/>
          <w:szCs w:val="17"/>
          <w:rtl w:val="0"/>
        </w:rPr>
        <w:t xml:space="preserve">import numpy as np</w:t>
      </w:r>
      <w:r w:rsidDel="00000000" w:rsidR="00000000" w:rsidRPr="00000000">
        <w:rPr>
          <w:rtl w:val="0"/>
        </w:rPr>
      </w:r>
    </w:p>
    <w:p w:rsidR="00000000" w:rsidDel="00000000" w:rsidP="00000000" w:rsidRDefault="00000000" w:rsidRPr="00000000" w14:paraId="000000B1">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from scipy import ndimage</w:t>
      </w:r>
      <w:r w:rsidDel="00000000" w:rsidR="00000000" w:rsidRPr="00000000">
        <w:rPr>
          <w:rtl w:val="0"/>
        </w:rPr>
      </w:r>
    </w:p>
    <w:p w:rsidR="00000000" w:rsidDel="00000000" w:rsidP="00000000" w:rsidRDefault="00000000" w:rsidRPr="00000000" w14:paraId="000000B2">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B3">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SAD, SCD = 250.0, 140.0      # mm: source-isocentre and source-LCD distances</w:t>
      </w:r>
      <w:r w:rsidDel="00000000" w:rsidR="00000000" w:rsidRPr="00000000">
        <w:rPr>
          <w:rtl w:val="0"/>
        </w:rPr>
      </w:r>
    </w:p>
    <w:p w:rsidR="00000000" w:rsidDel="00000000" w:rsidP="00000000" w:rsidRDefault="00000000" w:rsidRPr="00000000" w14:paraId="000000B4">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PIX = 0.153                  # mm: LCD pixel pitch (check your datasheet)</w:t>
      </w:r>
      <w:r w:rsidDel="00000000" w:rsidR="00000000" w:rsidRPr="00000000">
        <w:rPr>
          <w:rtl w:val="0"/>
        </w:rPr>
      </w:r>
    </w:p>
    <w:p w:rsidR="00000000" w:rsidDel="00000000" w:rsidP="00000000" w:rsidRDefault="00000000" w:rsidRPr="00000000" w14:paraId="000000B5">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W, H = 320, 240              # LCD resolution</w:t>
      </w:r>
      <w:r w:rsidDel="00000000" w:rsidR="00000000" w:rsidRPr="00000000">
        <w:rPr>
          <w:rtl w:val="0"/>
        </w:rPr>
      </w:r>
    </w:p>
    <w:p w:rsidR="00000000" w:rsidDel="00000000" w:rsidP="00000000" w:rsidRDefault="00000000" w:rsidRPr="00000000" w14:paraId="000000B6">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B7">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def heart_target(size=30.0, step=0.25):</w:t>
      </w:r>
      <w:r w:rsidDel="00000000" w:rsidR="00000000" w:rsidRPr="00000000">
        <w:rPr>
          <w:rtl w:val="0"/>
        </w:rPr>
      </w:r>
    </w:p>
    <w:p w:rsidR="00000000" w:rsidDel="00000000" w:rsidP="00000000" w:rsidRDefault="00000000" w:rsidRPr="00000000" w14:paraId="000000B8">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"""Voxel centres (N x 3, mm, IEC X/Y/Z) of an 'inflated' heart.</w:t>
      </w:r>
      <w:r w:rsidDel="00000000" w:rsidR="00000000" w:rsidRPr="00000000">
        <w:rPr>
          <w:rtl w:val="0"/>
        </w:rPr>
      </w:r>
    </w:p>
    <w:p w:rsidR="00000000" w:rsidDel="00000000" w:rsidP="00000000" w:rsidRDefault="00000000" w:rsidRPr="00000000" w14:paraId="000000B9">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Axis vertical (Z), lobes along Y (tube and rotation axis), facing +/-X.</w:t>
      </w:r>
      <w:r w:rsidDel="00000000" w:rsidR="00000000" w:rsidRPr="00000000">
        <w:rPr>
          <w:rtl w:val="0"/>
        </w:rPr>
      </w:r>
    </w:p>
    <w:p w:rsidR="00000000" w:rsidDel="00000000" w:rsidP="00000000" w:rsidRDefault="00000000" w:rsidRPr="00000000" w14:paraId="000000BA">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Every slice across Y is a disc, so an arc around Y rebuilds it exactly."""</w:t>
      </w:r>
      <w:r w:rsidDel="00000000" w:rsidR="00000000" w:rsidRPr="00000000">
        <w:rPr>
          <w:rtl w:val="0"/>
        </w:rPr>
      </w:r>
    </w:p>
    <w:p w:rsidR="00000000" w:rsidDel="00000000" w:rsidP="00000000" w:rsidRDefault="00000000" w:rsidRPr="00000000" w14:paraId="000000BB">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a = np.arange(-1.5, 1.5, 0.005)                   # across the lobes</w:t>
      </w:r>
      <w:r w:rsidDel="00000000" w:rsidR="00000000" w:rsidRPr="00000000">
        <w:rPr>
          <w:rtl w:val="0"/>
        </w:rPr>
      </w:r>
    </w:p>
    <w:p w:rsidR="00000000" w:rsidDel="00000000" w:rsidP="00000000" w:rsidRDefault="00000000" w:rsidRPr="00000000" w14:paraId="000000BC">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b = np.arange(-1.5, 1.5, 0.005)                   # heart 'up'</w:t>
      </w:r>
      <w:r w:rsidDel="00000000" w:rsidR="00000000" w:rsidRPr="00000000">
        <w:rPr>
          <w:rtl w:val="0"/>
        </w:rPr>
      </w:r>
    </w:p>
    <w:p w:rsidR="00000000" w:rsidDel="00000000" w:rsidP="00000000" w:rsidRDefault="00000000" w:rsidRPr="00000000" w14:paraId="000000BD">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A, B = np.meshgrid(a, b, indexing="ij")</w:t>
      </w:r>
      <w:r w:rsidDel="00000000" w:rsidR="00000000" w:rsidRPr="00000000">
        <w:rPr>
          <w:rtl w:val="0"/>
        </w:rPr>
      </w:r>
    </w:p>
    <w:p w:rsidR="00000000" w:rsidDel="00000000" w:rsidP="00000000" w:rsidRDefault="00000000" w:rsidRPr="00000000" w14:paraId="000000BE">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inside = (A**2 + B**2 - 1)**3 - A**2 * B**3 &lt;= 0  # classic heart curve</w:t>
      </w:r>
      <w:r w:rsidDel="00000000" w:rsidR="00000000" w:rsidRPr="00000000">
        <w:rPr>
          <w:rtl w:val="0"/>
        </w:rPr>
      </w:r>
    </w:p>
    <w:p w:rsidR="00000000" w:rsidDel="00000000" w:rsidP="00000000" w:rsidRDefault="00000000" w:rsidRPr="00000000" w14:paraId="000000BF">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has = inside.any(axis=1)</w:t>
      </w:r>
      <w:r w:rsidDel="00000000" w:rsidR="00000000" w:rsidRPr="00000000">
        <w:rPr>
          <w:rtl w:val="0"/>
        </w:rPr>
      </w:r>
    </w:p>
    <w:p w:rsidR="00000000" w:rsidDel="00000000" w:rsidP="00000000" w:rsidRDefault="00000000" w:rsidRPr="00000000" w14:paraId="000000C0">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bmin = np.where(has, np.where(inside, B, np.inf).min(axis=1), 0.0)</w:t>
      </w:r>
      <w:r w:rsidDel="00000000" w:rsidR="00000000" w:rsidRPr="00000000">
        <w:rPr>
          <w:rtl w:val="0"/>
        </w:rPr>
      </w:r>
    </w:p>
    <w:p w:rsidR="00000000" w:rsidDel="00000000" w:rsidP="00000000" w:rsidRDefault="00000000" w:rsidRPr="00000000" w14:paraId="000000C1">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bmax = np.where(has, np.where(inside, B, -np.inf).max(axis=1), 0.0)</w:t>
      </w:r>
      <w:r w:rsidDel="00000000" w:rsidR="00000000" w:rsidRPr="00000000">
        <w:rPr>
          <w:rtl w:val="0"/>
        </w:rPr>
      </w:r>
    </w:p>
    <w:p w:rsidR="00000000" w:rsidDel="00000000" w:rsidP="00000000" w:rsidRDefault="00000000" w:rsidRPr="00000000" w14:paraId="000000C2">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s = size / 2.4</w:t>
      </w:r>
      <w:r w:rsidDel="00000000" w:rsidR="00000000" w:rsidRPr="00000000">
        <w:rPr>
          <w:rtl w:val="0"/>
        </w:rPr>
      </w:r>
    </w:p>
    <w:p w:rsidR="00000000" w:rsidDel="00000000" w:rsidP="00000000" w:rsidRDefault="00000000" w:rsidRPr="00000000" w14:paraId="000000C3">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zc, r = s * (bmin + bmax) / 2, s * (bmax - bmin) / 2   # disc centre, radius</w:t>
      </w:r>
      <w:r w:rsidDel="00000000" w:rsidR="00000000" w:rsidRPr="00000000">
        <w:rPr>
          <w:rtl w:val="0"/>
        </w:rPr>
      </w:r>
    </w:p>
    <w:p w:rsidR="00000000" w:rsidDel="00000000" w:rsidP="00000000" w:rsidRDefault="00000000" w:rsidRPr="00000000" w14:paraId="000000C4">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g = np.arange(-0.6 * size, 0.6 * size, step)</w:t>
      </w:r>
      <w:r w:rsidDel="00000000" w:rsidR="00000000" w:rsidRPr="00000000">
        <w:rPr>
          <w:rtl w:val="0"/>
        </w:rPr>
      </w:r>
    </w:p>
    <w:p w:rsidR="00000000" w:rsidDel="00000000" w:rsidP="00000000" w:rsidRDefault="00000000" w:rsidRPr="00000000" w14:paraId="000000C5">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X, Y, Z = np.meshgrid(g, g, g, indexing="ij", sparse=True)</w:t>
      </w:r>
      <w:r w:rsidDel="00000000" w:rsidR="00000000" w:rsidRPr="00000000">
        <w:rPr>
          <w:rtl w:val="0"/>
        </w:rPr>
      </w:r>
    </w:p>
    <w:p w:rsidR="00000000" w:rsidDel="00000000" w:rsidP="00000000" w:rsidRDefault="00000000" w:rsidRPr="00000000" w14:paraId="000000C6">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Zc = np.interp(Y, s * a, zc)</w:t>
      </w:r>
      <w:r w:rsidDel="00000000" w:rsidR="00000000" w:rsidRPr="00000000">
        <w:rPr>
          <w:rtl w:val="0"/>
        </w:rPr>
      </w:r>
    </w:p>
    <w:p w:rsidR="00000000" w:rsidDel="00000000" w:rsidP="00000000" w:rsidRDefault="00000000" w:rsidRPr="00000000" w14:paraId="000000C7">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R = np.interp(Y, s * a, r, left=0.0, right=0.0)</w:t>
      </w:r>
      <w:r w:rsidDel="00000000" w:rsidR="00000000" w:rsidRPr="00000000">
        <w:rPr>
          <w:rtl w:val="0"/>
        </w:rPr>
      </w:r>
    </w:p>
    <w:p w:rsidR="00000000" w:rsidDel="00000000" w:rsidP="00000000" w:rsidRDefault="00000000" w:rsidRPr="00000000" w14:paraId="000000C8">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i, j, k = np.nonzero(X**2 + (Z - Zc)**2 &lt; R**2)</w:t>
      </w:r>
      <w:r w:rsidDel="00000000" w:rsidR="00000000" w:rsidRPr="00000000">
        <w:rPr>
          <w:rtl w:val="0"/>
        </w:rPr>
      </w:r>
    </w:p>
    <w:p w:rsidR="00000000" w:rsidDel="00000000" w:rsidP="00000000" w:rsidRDefault="00000000" w:rsidRPr="00000000" w14:paraId="000000C9">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pts = np.column_stack([g[i], g[j], g[k]])</w:t>
      </w:r>
      <w:r w:rsidDel="00000000" w:rsidR="00000000" w:rsidRPr="00000000">
        <w:rPr>
          <w:rtl w:val="0"/>
        </w:rPr>
      </w:r>
    </w:p>
    <w:p w:rsidR="00000000" w:rsidDel="00000000" w:rsidP="00000000" w:rsidRDefault="00000000" w:rsidRPr="00000000" w14:paraId="000000CA">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return pts - (pts.min(axis=0) + pts.max(axis=0)) / 2   # centre on isocentre</w:t>
      </w:r>
      <w:r w:rsidDel="00000000" w:rsidR="00000000" w:rsidRPr="00000000">
        <w:rPr>
          <w:rtl w:val="0"/>
        </w:rPr>
      </w:r>
    </w:p>
    <w:p w:rsidR="00000000" w:rsidDel="00000000" w:rsidP="00000000" w:rsidRDefault="00000000" w:rsidRPr="00000000" w14:paraId="000000CB">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CC">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def aperture(pts, gantry_deg):</w:t>
      </w:r>
      <w:r w:rsidDel="00000000" w:rsidR="00000000" w:rsidRPr="00000000">
        <w:rPr>
          <w:rtl w:val="0"/>
        </w:rPr>
      </w:r>
    </w:p>
    <w:p w:rsidR="00000000" w:rsidDel="00000000" w:rsidP="00000000" w:rsidRDefault="00000000" w:rsidRPr="00000000" w14:paraId="000000CD">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"""Boolean LCD image: True where the ray from the source hits the target."""</w:t>
      </w:r>
      <w:r w:rsidDel="00000000" w:rsidR="00000000" w:rsidRPr="00000000">
        <w:rPr>
          <w:rtl w:val="0"/>
        </w:rPr>
      </w:r>
    </w:p>
    <w:p w:rsidR="00000000" w:rsidDel="00000000" w:rsidP="00000000" w:rsidRDefault="00000000" w:rsidRPr="00000000" w14:paraId="000000CE">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th = np.radians(gantry_deg)</w:t>
      </w:r>
      <w:r w:rsidDel="00000000" w:rsidR="00000000" w:rsidRPr="00000000">
        <w:rPr>
          <w:rtl w:val="0"/>
        </w:rPr>
      </w:r>
    </w:p>
    <w:p w:rsidR="00000000" w:rsidDel="00000000" w:rsidP="00000000" w:rsidRDefault="00000000" w:rsidRPr="00000000" w14:paraId="000000CF">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S = SAD * np.array([np.sin(th), 0.0, np.cos(th)])   # source position</w:t>
      </w:r>
      <w:r w:rsidDel="00000000" w:rsidR="00000000" w:rsidRPr="00000000">
        <w:rPr>
          <w:rtl w:val="0"/>
        </w:rPr>
      </w:r>
    </w:p>
    <w:p w:rsidR="00000000" w:rsidDel="00000000" w:rsidP="00000000" w:rsidRDefault="00000000" w:rsidRPr="00000000" w14:paraId="000000D0">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d = -S / SAD                                         # beam axis (unit vector)</w:t>
      </w:r>
      <w:r w:rsidDel="00000000" w:rsidR="00000000" w:rsidRPr="00000000">
        <w:rPr>
          <w:rtl w:val="0"/>
        </w:rPr>
      </w:r>
    </w:p>
    <w:p w:rsidR="00000000" w:rsidDel="00000000" w:rsidP="00000000" w:rsidRDefault="00000000" w:rsidRPr="00000000" w14:paraId="000000D1">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U = np.array([np.cos(th), 0.0, -np.sin(th)])         # LCD width direction</w:t>
      </w:r>
      <w:r w:rsidDel="00000000" w:rsidR="00000000" w:rsidRPr="00000000">
        <w:rPr>
          <w:rtl w:val="0"/>
        </w:rPr>
      </w:r>
    </w:p>
    <w:p w:rsidR="00000000" w:rsidDel="00000000" w:rsidP="00000000" w:rsidRDefault="00000000" w:rsidRPr="00000000" w14:paraId="000000D2">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V = np.array([0.0, 1.0, 0.0])                        # LCD height = tube axis</w:t>
      </w:r>
      <w:r w:rsidDel="00000000" w:rsidR="00000000" w:rsidRPr="00000000">
        <w:rPr>
          <w:rtl w:val="0"/>
        </w:rPr>
      </w:r>
    </w:p>
    <w:p w:rsidR="00000000" w:rsidDel="00000000" w:rsidP="00000000" w:rsidRDefault="00000000" w:rsidRPr="00000000" w14:paraId="000000D3">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rel = pts - S</w:t>
      </w:r>
      <w:r w:rsidDel="00000000" w:rsidR="00000000" w:rsidRPr="00000000">
        <w:rPr>
          <w:rtl w:val="0"/>
        </w:rPr>
      </w:r>
    </w:p>
    <w:p w:rsidR="00000000" w:rsidDel="00000000" w:rsidP="00000000" w:rsidRDefault="00000000" w:rsidRPr="00000000" w14:paraId="000000D4">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t = SCD / (rel @ d)                                  # scale to the LCD plane</w:t>
      </w:r>
      <w:r w:rsidDel="00000000" w:rsidR="00000000" w:rsidRPr="00000000">
        <w:rPr>
          <w:rtl w:val="0"/>
        </w:rPr>
      </w:r>
    </w:p>
    <w:p w:rsidR="00000000" w:rsidDel="00000000" w:rsidP="00000000" w:rsidRDefault="00000000" w:rsidRPr="00000000" w14:paraId="000000D5">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iu = np.rint(t * (rel @ U) / PIX + W / 2).astype(int)</w:t>
      </w:r>
      <w:r w:rsidDel="00000000" w:rsidR="00000000" w:rsidRPr="00000000">
        <w:rPr>
          <w:rtl w:val="0"/>
        </w:rPr>
      </w:r>
    </w:p>
    <w:p w:rsidR="00000000" w:rsidDel="00000000" w:rsidP="00000000" w:rsidRDefault="00000000" w:rsidRPr="00000000" w14:paraId="000000D6">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iv = np.rint(t * (rel @ V) / PIX + H / 2).astype(int)</w:t>
      </w:r>
      <w:r w:rsidDel="00000000" w:rsidR="00000000" w:rsidRPr="00000000">
        <w:rPr>
          <w:rtl w:val="0"/>
        </w:rPr>
      </w:r>
    </w:p>
    <w:p w:rsidR="00000000" w:rsidDel="00000000" w:rsidP="00000000" w:rsidRDefault="00000000" w:rsidRPr="00000000" w14:paraId="000000D7">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ok = (iu &gt;= 0) &amp; (iu &lt; W) &amp; (iv &gt;= 0) &amp; (iv &lt; H)</w:t>
      </w:r>
      <w:r w:rsidDel="00000000" w:rsidR="00000000" w:rsidRPr="00000000">
        <w:rPr>
          <w:rtl w:val="0"/>
        </w:rPr>
      </w:r>
    </w:p>
    <w:p w:rsidR="00000000" w:rsidDel="00000000" w:rsidP="00000000" w:rsidRDefault="00000000" w:rsidRPr="00000000" w14:paraId="000000D8">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img = np.zeros((H, W), bool)</w:t>
      </w:r>
      <w:r w:rsidDel="00000000" w:rsidR="00000000" w:rsidRPr="00000000">
        <w:rPr>
          <w:rtl w:val="0"/>
        </w:rPr>
      </w:r>
    </w:p>
    <w:p w:rsidR="00000000" w:rsidDel="00000000" w:rsidP="00000000" w:rsidRDefault="00000000" w:rsidRPr="00000000" w14:paraId="000000D9">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img[iv[ok], iu[ok]] = True</w:t>
      </w:r>
      <w:r w:rsidDel="00000000" w:rsidR="00000000" w:rsidRPr="00000000">
        <w:rPr>
          <w:rtl w:val="0"/>
        </w:rPr>
      </w:r>
    </w:p>
    <w:p w:rsidR="00000000" w:rsidDel="00000000" w:rsidP="00000000" w:rsidRDefault="00000000" w:rsidRPr="00000000" w14:paraId="000000DA">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img = ndimage.binary_closing(img, iterations=2)      # close sampling gaps</w:t>
      </w:r>
      <w:r w:rsidDel="00000000" w:rsidR="00000000" w:rsidRPr="00000000">
        <w:rPr>
          <w:rtl w:val="0"/>
        </w:rPr>
      </w:r>
    </w:p>
    <w:p w:rsidR="00000000" w:rsidDel="00000000" w:rsidP="00000000" w:rsidRDefault="00000000" w:rsidRPr="00000000" w14:paraId="000000DB">
      <w:pPr>
        <w:keepNext w:val="0"/>
        <w:keepLines w:val="1"/>
        <w:shd w:fill="f2f4f7" w:val="clear"/>
        <w:spacing w:after="140" w:before="0" w:line="250" w:lineRule="auto"/>
        <w:ind w:left="170" w:right="170" w:firstLine="0"/>
        <w:rPr/>
      </w:pPr>
      <w:r w:rsidDel="00000000" w:rsidR="00000000" w:rsidRPr="00000000">
        <w:rPr>
          <w:rFonts w:ascii="Consolas" w:cs="Consolas" w:eastAsia="Consolas" w:hAnsi="Consolas"/>
          <w:sz w:val="17"/>
          <w:szCs w:val="17"/>
          <w:rtl w:val="0"/>
        </w:rPr>
        <w:t xml:space="preserve">    return ndimage.binary_fill_holes(img)</w:t>
      </w:r>
      <w:r w:rsidDel="00000000" w:rsidR="00000000" w:rsidRPr="00000000">
        <w:rPr>
          <w:rtl w:val="0"/>
        </w:rPr>
      </w:r>
    </w:p>
    <w:p w:rsidR="00000000" w:rsidDel="00000000" w:rsidP="00000000" w:rsidRDefault="00000000" w:rsidRPr="00000000" w14:paraId="000000DC">
      <w:pPr>
        <w:spacing w:after="120" w:before="60" w:line="280" w:lineRule="auto"/>
        <w:rPr/>
      </w:pPr>
      <w:r w:rsidDel="00000000" w:rsidR="00000000" w:rsidRPr="00000000">
        <w:rPr>
          <w:rtl w:val="0"/>
        </w:rPr>
        <w:t xml:space="preserve">The execution loop then looks like this:</w:t>
      </w:r>
    </w:p>
    <w:p w:rsidR="00000000" w:rsidDel="00000000" w:rsidP="00000000" w:rsidRDefault="00000000" w:rsidRPr="00000000" w14:paraId="000000DD">
      <w:pPr>
        <w:keepNext w:val="1"/>
        <w:keepLines w:val="1"/>
        <w:shd w:fill="f2f4f7" w:val="clear"/>
        <w:spacing w:after="0" w:before="120" w:line="250" w:lineRule="auto"/>
        <w:ind w:left="170" w:right="170" w:firstLine="0"/>
        <w:rPr/>
      </w:pPr>
      <w:r w:rsidDel="00000000" w:rsidR="00000000" w:rsidRPr="00000000">
        <w:rPr>
          <w:rFonts w:ascii="Consolas" w:cs="Consolas" w:eastAsia="Consolas" w:hAnsi="Consolas"/>
          <w:sz w:val="17"/>
          <w:szCs w:val="17"/>
          <w:rtl w:val="0"/>
        </w:rPr>
        <w:t xml:space="preserve">pts = heart_target()</w:t>
      </w:r>
      <w:r w:rsidDel="00000000" w:rsidR="00000000" w:rsidRPr="00000000">
        <w:rPr>
          <w:rtl w:val="0"/>
        </w:rPr>
      </w:r>
    </w:p>
    <w:p w:rsidR="00000000" w:rsidDel="00000000" w:rsidP="00000000" w:rsidRDefault="00000000" w:rsidRPr="00000000" w14:paraId="000000DE">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for gantry in range(-180, 180, 10):</w:t>
      </w:r>
      <w:r w:rsidDel="00000000" w:rsidR="00000000" w:rsidRPr="00000000">
        <w:rPr>
          <w:rtl w:val="0"/>
        </w:rPr>
      </w:r>
    </w:p>
    <w:p w:rsidR="00000000" w:rsidDel="00000000" w:rsidP="00000000" w:rsidRDefault="00000000" w:rsidRPr="00000000" w14:paraId="000000DF">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apt = aperture(pts, gantry)</w:t>
      </w:r>
      <w:r w:rsidDel="00000000" w:rsidR="00000000" w:rsidRPr="00000000">
        <w:rPr>
          <w:rtl w:val="0"/>
        </w:rPr>
      </w:r>
    </w:p>
    <w:p w:rsidR="00000000" w:rsidDel="00000000" w:rsidP="00000000" w:rsidRDefault="00000000" w:rsidRPr="00000000" w14:paraId="000000E0">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move_and_verify(gantry)   # G-code move, wait until idle, check encoder</w:t>
      </w:r>
      <w:r w:rsidDel="00000000" w:rsidR="00000000" w:rsidRPr="00000000">
        <w:rPr>
          <w:rtl w:val="0"/>
        </w:rPr>
      </w:r>
    </w:p>
    <w:p w:rsidR="00000000" w:rsidDel="00000000" w:rsidP="00000000" w:rsidRDefault="00000000" w:rsidRPr="00000000" w14:paraId="000000E1">
      <w:pPr>
        <w:keepNext w:val="1"/>
        <w:keepLines w:val="1"/>
        <w:shd w:fill="f2f4f7" w:val="clear"/>
        <w:spacing w:after="0" w:before="0" w:line="250" w:lineRule="auto"/>
        <w:ind w:left="170" w:right="170" w:firstLine="0"/>
        <w:rPr/>
      </w:pPr>
      <w:r w:rsidDel="00000000" w:rsidR="00000000" w:rsidRPr="00000000">
        <w:rPr>
          <w:rFonts w:ascii="Consolas" w:cs="Consolas" w:eastAsia="Consolas" w:hAnsi="Consolas"/>
          <w:sz w:val="17"/>
          <w:szCs w:val="17"/>
          <w:rtl w:val="0"/>
        </w:rPr>
        <w:t xml:space="preserve">    show_on_lcd(apt)          # white = open leaves, black = closed</w:t>
      </w:r>
      <w:r w:rsidDel="00000000" w:rsidR="00000000" w:rsidRPr="00000000">
        <w:rPr>
          <w:rtl w:val="0"/>
        </w:rPr>
      </w:r>
    </w:p>
    <w:p w:rsidR="00000000" w:rsidDel="00000000" w:rsidP="00000000" w:rsidRDefault="00000000" w:rsidRPr="00000000" w14:paraId="000000E2">
      <w:pPr>
        <w:keepNext w:val="0"/>
        <w:keepLines w:val="1"/>
        <w:shd w:fill="f2f4f7" w:val="clear"/>
        <w:spacing w:after="140" w:before="0" w:line="250" w:lineRule="auto"/>
        <w:ind w:left="170" w:right="170" w:firstLine="0"/>
        <w:rPr/>
      </w:pPr>
      <w:r w:rsidDel="00000000" w:rsidR="00000000" w:rsidRPr="00000000">
        <w:rPr>
          <w:rFonts w:ascii="Consolas" w:cs="Consolas" w:eastAsia="Consolas" w:hAnsi="Consolas"/>
          <w:sz w:val="17"/>
          <w:szCs w:val="17"/>
          <w:rtl w:val="0"/>
        </w:rPr>
        <w:t xml:space="preserve">    beam_on(seconds=1.0)      # LED gated by the interlock chain</w:t>
      </w:r>
      <w:r w:rsidDel="00000000" w:rsidR="00000000" w:rsidRPr="00000000">
        <w:rPr>
          <w:rtl w:val="0"/>
        </w:rPr>
      </w:r>
    </w:p>
    <w:p w:rsidR="00000000" w:rsidDel="00000000" w:rsidP="00000000" w:rsidRDefault="00000000" w:rsidRPr="00000000" w14:paraId="000000E3">
      <w:pPr>
        <w:spacing w:after="120" w:before="60" w:line="280" w:lineRule="auto"/>
        <w:rPr/>
      </w:pPr>
      <w:r w:rsidDel="00000000" w:rsidR="00000000" w:rsidRPr="00000000">
        <w:rPr>
          <w:rtl w:val="0"/>
        </w:rPr>
        <w:t xml:space="preserve">The panel may be mounted mirrored or rotated, so apply the orientation fixes found in Step 8.</w:t>
      </w:r>
    </w:p>
    <w:p w:rsidR="00000000" w:rsidDel="00000000" w:rsidP="00000000" w:rsidRDefault="00000000" w:rsidRPr="00000000" w14:paraId="000000E4">
      <w:pPr>
        <w:pStyle w:val="Heading3"/>
        <w:spacing w:after="80" w:before="200" w:lineRule="auto"/>
        <w:rPr/>
      </w:pPr>
      <w:r w:rsidDel="00000000" w:rsidR="00000000" w:rsidRPr="00000000">
        <w:rPr>
          <w:rtl w:val="0"/>
        </w:rPr>
        <w:t xml:space="preserve">9.5 Making the heart visible</w:t>
      </w:r>
    </w:p>
    <w:p w:rsidR="00000000" w:rsidDel="00000000" w:rsidP="00000000" w:rsidRDefault="00000000" w:rsidRPr="00000000" w14:paraId="000000E5">
      <w:pPr>
        <w:spacing w:after="120" w:before="60" w:line="280" w:lineRule="auto"/>
        <w:rPr/>
      </w:pPr>
      <w:r w:rsidDel="00000000" w:rsidR="00000000" w:rsidRPr="00000000">
        <w:rPr>
          <w:rtl w:val="0"/>
        </w:rPr>
        <w:t xml:space="preserve">Only one beam is on at a time, so the naked eye sees single light cones, not the heart. The heart appears when the exposures </w:t>
      </w:r>
      <w:r w:rsidDel="00000000" w:rsidR="00000000" w:rsidRPr="00000000">
        <w:rPr>
          <w:b w:val="1"/>
          <w:bCs w:val="1"/>
          <w:rtl w:val="0"/>
        </w:rPr>
        <w:t xml:space="preserve">accumulate</w:t>
      </w:r>
      <w:r w:rsidDel="00000000" w:rsidR="00000000" w:rsidRPr="00000000">
        <w:rPr>
          <w:rtl w:val="0"/>
        </w:rPr>
        <w:t xml:space="preserve">, exactly like dose. There are three ways to show this:</w:t>
      </w:r>
    </w:p>
    <w:p w:rsidR="00000000" w:rsidDel="00000000" w:rsidP="00000000" w:rsidRDefault="00000000" w:rsidRPr="00000000" w14:paraId="000000E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Long-exposure photograph (easiest):</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use a camera on a tripod in a dark room with the exposure covering the whole arc. The heart is the brightest region.</w:t>
      </w:r>
      <w:r w:rsidDel="00000000" w:rsidR="00000000" w:rsidRPr="00000000">
        <w:rPr>
          <w:rtl w:val="0"/>
        </w:rPr>
      </w:r>
    </w:p>
    <w:p w:rsidR="00000000" w:rsidDel="00000000" w:rsidP="00000000" w:rsidRDefault="00000000" w:rsidRPr="00000000" w14:paraId="000000E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Live "dose wash" (best for patients):</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a fixed webcam watches the tube. The Pi subtracts a dark frame, adds each frame to a running sum and shows it on a monitor with a colour map, optionally with isodose-like contour lines. The heart gradually emerges as the gantry turns.</w:t>
      </w:r>
      <w:r w:rsidDel="00000000" w:rsidR="00000000" w:rsidRPr="00000000">
        <w:rPr>
          <w:rtl w:val="0"/>
        </w:rPr>
      </w:r>
    </w:p>
    <w:p w:rsidR="00000000" w:rsidDel="00000000" w:rsidP="00000000" w:rsidRDefault="00000000" w:rsidRPr="00000000" w14:paraId="000000E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Phosphorescent medium (experimental):</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glow powder in clear resin stores light, so the heart can glow after the arc, visible to the naked eye. Keep the exposure low to avoid saturation, and note that uncoated strontium aluminate degrades in water. I haven't seen this exact setup documented, so test a small sample first.</w:t>
      </w:r>
      <w:r w:rsidDel="00000000" w:rsidR="00000000" w:rsidRPr="00000000">
        <w:rPr>
          <w:rtl w:val="0"/>
        </w:rPr>
      </w:r>
    </w:p>
    <w:p w:rsidR="00000000" w:rsidDel="00000000" w:rsidP="00000000" w:rsidRDefault="00000000" w:rsidRPr="00000000" w14:paraId="000000E9">
      <w:pPr>
        <w:spacing w:after="120" w:before="60" w:line="280" w:lineRule="auto"/>
        <w:rPr/>
      </w:pPr>
      <w:r w:rsidDel="00000000" w:rsidR="00000000" w:rsidRPr="00000000">
        <w:rPr>
          <w:rtl w:val="0"/>
        </w:rPr>
        <w:t xml:space="preserve">A playful aside: to see the heart live without accumulation, you would need several fixed heads shining at once. That is essentially the Gamma Knife principle.</w:t>
      </w:r>
    </w:p>
    <w:p w:rsidR="00000000" w:rsidDel="00000000" w:rsidP="00000000" w:rsidRDefault="00000000" w:rsidRPr="00000000" w14:paraId="000000EA">
      <w:pPr>
        <w:pStyle w:val="Heading1"/>
        <w:pBdr>
          <w:bottom w:color="bfbfbf" w:space="4" w:sz="6" w:val="single"/>
        </w:pBdr>
        <w:spacing w:after="120" w:before="320" w:lineRule="auto"/>
        <w:rPr/>
      </w:pPr>
      <w:r w:rsidDel="00000000" w:rsidR="00000000" w:rsidRPr="00000000">
        <w:rPr>
          <w:rtl w:val="0"/>
        </w:rPr>
        <w:t xml:space="preserve">3. What the demo teaches</w:t>
      </w:r>
    </w:p>
    <w:p w:rsidR="00000000" w:rsidDel="00000000" w:rsidP="00000000" w:rsidRDefault="00000000" w:rsidRPr="00000000" w14:paraId="000000E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The low-dose bath:</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each cone lights its whole path, so tissue around the target receives light from part of the arc.</w:t>
      </w:r>
      <w:r w:rsidDel="00000000" w:rsidR="00000000" w:rsidRPr="00000000">
        <w:rPr>
          <w:rtl w:val="0"/>
        </w:rPr>
      </w:r>
    </w:p>
    <w:p w:rsidR="00000000" w:rsidDel="00000000" w:rsidP="00000000" w:rsidRDefault="00000000" w:rsidRPr="00000000" w14:paraId="000000E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Leakage:</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black pixels still transmit a little light, like closed MLC leaves.</w:t>
      </w: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Source size and penumbra:</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you can compare pinhole sizes directly.</w:t>
      </w:r>
      <w:r w:rsidDel="00000000" w:rsidR="00000000" w:rsidRPr="00000000">
        <w:rPr>
          <w:rtl w:val="0"/>
        </w:rPr>
      </w:r>
    </w:p>
    <w:p w:rsidR="00000000" w:rsidDel="00000000" w:rsidP="00000000" w:rsidRDefault="00000000" w:rsidRPr="00000000" w14:paraId="000000E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Attenuation and scatter:</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entrance-versus-exit brightness shows attenuation, and the diffuse glow shows scatter.</w:t>
      </w:r>
      <w:r w:rsidDel="00000000" w:rsidR="00000000" w:rsidRPr="00000000">
        <w:rPr>
          <w:rtl w:val="0"/>
        </w:rPr>
      </w:r>
    </w:p>
    <w:p w:rsidR="00000000" w:rsidDel="00000000" w:rsidP="00000000" w:rsidRDefault="00000000" w:rsidRPr="00000000" w14:paraId="000000E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Arcs versus static fields.</w:t>
      </w:r>
      <w:r w:rsidDel="00000000" w:rsidR="00000000" w:rsidRPr="00000000">
        <w:rPr>
          <w:rtl w:val="0"/>
        </w:rPr>
      </w:r>
    </w:p>
    <w:p w:rsidR="00000000" w:rsidDel="00000000" w:rsidP="00000000" w:rsidRDefault="00000000" w:rsidRPr="00000000" w14:paraId="000000F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Refraction correction as an analogue of heterogeneity correction.</w:t>
      </w:r>
      <w:r w:rsidDel="00000000" w:rsidR="00000000" w:rsidRPr="00000000">
        <w:rPr>
          <w:rtl w:val="0"/>
        </w:rPr>
      </w:r>
    </w:p>
    <w:p w:rsidR="00000000" w:rsidDel="00000000" w:rsidP="00000000" w:rsidRDefault="00000000" w:rsidRPr="00000000" w14:paraId="000000F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Why interlocks exist.</w:t>
      </w:r>
      <w:r w:rsidDel="00000000" w:rsidR="00000000" w:rsidRPr="00000000">
        <w:rPr>
          <w:rtl w:val="0"/>
        </w:rPr>
      </w:r>
    </w:p>
    <w:p w:rsidR="00000000" w:rsidDel="00000000" w:rsidP="00000000" w:rsidRDefault="00000000" w:rsidRPr="00000000" w14:paraId="000000F2">
      <w:pPr>
        <w:pStyle w:val="Heading1"/>
        <w:pBdr>
          <w:bottom w:color="bfbfbf" w:space="4" w:sz="6" w:val="single"/>
        </w:pBdr>
        <w:spacing w:after="120" w:before="320" w:lineRule="auto"/>
        <w:rPr/>
      </w:pPr>
      <w:r w:rsidDel="00000000" w:rsidR="00000000" w:rsidRPr="00000000">
        <w:rPr>
          <w:rtl w:val="0"/>
        </w:rPr>
        <w:t xml:space="preserve">4. Upgrades</w:t>
      </w:r>
    </w:p>
    <w:p w:rsidR="00000000" w:rsidDel="00000000" w:rsidP="00000000" w:rsidRDefault="00000000" w:rsidRPr="00000000" w14:paraId="000000F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Non-coplanar arcs</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with couch rotation ("couch kicks").</w:t>
      </w:r>
      <w:r w:rsidDel="00000000" w:rsidR="00000000" w:rsidRPr="00000000">
        <w:rPr>
          <w:rtl w:val="0"/>
        </w:rPr>
      </w:r>
    </w:p>
    <w:p w:rsidR="00000000" w:rsidDel="00000000" w:rsidP="00000000" w:rsidRDefault="00000000" w:rsidRPr="00000000" w14:paraId="000000F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Physical collimator rotation</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and its QA tests.</w:t>
      </w:r>
      <w:r w:rsidDel="00000000" w:rsidR="00000000" w:rsidRPr="00000000">
        <w:rPr>
          <w:rtl w:val="0"/>
        </w:rPr>
      </w:r>
    </w:p>
    <w:p w:rsidR="00000000" w:rsidDel="00000000" w:rsidP="00000000" w:rsidRDefault="00000000" w:rsidRPr="00000000" w14:paraId="000000F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Continuous dynamic arcs.</w:t>
      </w:r>
      <w:r w:rsidDel="00000000" w:rsidR="00000000" w:rsidRPr="00000000">
        <w:rPr>
          <w:rtl w:val="0"/>
        </w:rPr>
      </w:r>
    </w:p>
    <w:p w:rsidR="00000000" w:rsidDel="00000000" w:rsidP="00000000" w:rsidRDefault="00000000" w:rsidRPr="00000000" w14:paraId="000000F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An Ethos-style closed ring cover.</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Ethos delivers coplanar arcs only, and a bore hides the moving parts, which is safer for public demos.</w:t>
      </w:r>
      <w:r w:rsidDel="00000000" w:rsidR="00000000" w:rsidRPr="00000000">
        <w:rPr>
          <w:rtl w:val="0"/>
        </w:rPr>
      </w:r>
    </w:p>
    <w:p w:rsidR="00000000" w:rsidDel="00000000" w:rsidP="00000000" w:rsidRDefault="00000000" w:rsidRPr="00000000" w14:paraId="000000F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80" w:lineRule="auto"/>
        <w:ind w:left="420" w:right="0" w:hanging="26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Replaying anonymised clinical plans</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so students can see real MLC sequences.</w:t>
      </w:r>
      <w:r w:rsidDel="00000000" w:rsidR="00000000" w:rsidRPr="00000000">
        <w:rPr>
          <w:rtl w:val="0"/>
        </w:rPr>
      </w:r>
    </w:p>
    <w:p>
      <w:r>
        <w:br w:type="page"/>
      </w:r>
    </w:p>
    <w:p>
      <w:pPr>
        <w:pStyle w:val="Heading1"/>
      </w:pPr>
      <w:r>
        <w:t>Optical collimator development plan</w:t>
      </w:r>
    </w:p>
    <w:p>
      <w:r>
        <w:t>The LCD is the highest-risk subsystem and should be qualified before the gantry is built. The aim is not perfect darkness. The aim is a field whose open region is bright enough to see or measure, whose closed-region leakage is low enough not to obscure the lesson, and whose edge remains geometrically accurate over the full field and gantry range.</w:t>
      </w:r>
    </w:p>
    <w:p>
      <w:pPr>
        <w:pStyle w:val="Heading2"/>
      </w:pPr>
      <w:r>
        <w:t>What stacking can and cannot do</w:t>
      </w:r>
    </w:p>
    <w:p>
      <w:r>
        <w:t>Let Topen and Tclosed be the measured fractions of incident light transmitted by one panel. Its static contrast is C = Topen / Tclosed. If N identical panels acted independently, were driven with the same binary mask and introduced no stray-light floor, then open transmission would be Topen^N, closed transmission Tclosed^N, and contrast C^N. That is the optimistic ceiling, not a purchase specification. Real stacks are limited by polariser orientation, colour filters, surface reflections, depolarisation, inter-panel scatter, temperature, pixel registration and the darkest level the camera or eye can distinguish.</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99"/>
        <w:gridCol w:w="1999"/>
        <w:gridCol w:w="1999"/>
        <w:gridCol w:w="1999"/>
        <w:gridCol w:w="1999"/>
      </w:tblGrid>
      <w:tr>
        <w:tc>
          <w:tcPr>
            <w:tcW w:type="dxa" w:w="1999"/>
            <w:shd w:fill="176B87"/>
            <w:vAlign w:val="center"/>
          </w:tcPr>
          <w:p>
            <w:r>
              <w:rPr>
                <w:b/>
                <w:color w:val="FFFFFF"/>
                <w:sz w:val="18"/>
              </w:rPr>
              <w:t>Configuration</w:t>
            </w:r>
          </w:p>
        </w:tc>
        <w:tc>
          <w:tcPr>
            <w:tcW w:type="dxa" w:w="1999"/>
            <w:shd w:fill="176B87"/>
            <w:vAlign w:val="center"/>
          </w:tcPr>
          <w:p>
            <w:r>
              <w:rPr>
                <w:b/>
                <w:color w:val="FFFFFF"/>
                <w:sz w:val="18"/>
              </w:rPr>
              <w:t>Ideal open transmission</w:t>
            </w:r>
          </w:p>
        </w:tc>
        <w:tc>
          <w:tcPr>
            <w:tcW w:type="dxa" w:w="1999"/>
            <w:shd w:fill="176B87"/>
            <w:vAlign w:val="center"/>
          </w:tcPr>
          <w:p>
            <w:r>
              <w:rPr>
                <w:b/>
                <w:color w:val="FFFFFF"/>
                <w:sz w:val="18"/>
              </w:rPr>
              <w:t>Ideal closed transmission</w:t>
            </w:r>
          </w:p>
        </w:tc>
        <w:tc>
          <w:tcPr>
            <w:tcW w:type="dxa" w:w="1999"/>
            <w:shd w:fill="176B87"/>
            <w:vAlign w:val="center"/>
          </w:tcPr>
          <w:p>
            <w:r>
              <w:rPr>
                <w:b/>
                <w:color w:val="FFFFFF"/>
                <w:sz w:val="18"/>
              </w:rPr>
              <w:t>Ideal contrast</w:t>
            </w:r>
          </w:p>
        </w:tc>
        <w:tc>
          <w:tcPr>
            <w:tcW w:type="dxa" w:w="1999"/>
            <w:shd w:fill="176B87"/>
            <w:vAlign w:val="center"/>
          </w:tcPr>
          <w:p>
            <w:r>
              <w:rPr>
                <w:b/>
                <w:color w:val="FFFFFF"/>
                <w:sz w:val="18"/>
              </w:rPr>
              <w:t>Interpretation</w:t>
            </w:r>
          </w:p>
        </w:tc>
      </w:tr>
      <w:tr>
        <w:tc>
          <w:tcPr>
            <w:tcW w:type="dxa" w:w="1999"/>
            <w:vAlign w:val="center"/>
          </w:tcPr>
          <w:p>
            <w:pPr>
              <w:spacing w:after="40"/>
            </w:pPr>
            <w:r>
              <w:rPr>
                <w:sz w:val="18"/>
              </w:rPr>
              <w:t>One panel</w:t>
            </w:r>
          </w:p>
        </w:tc>
        <w:tc>
          <w:tcPr>
            <w:tcW w:type="dxa" w:w="1999"/>
            <w:vAlign w:val="center"/>
          </w:tcPr>
          <w:p>
            <w:pPr>
              <w:spacing w:after="40"/>
            </w:pPr>
            <w:r>
              <w:rPr>
                <w:sz w:val="18"/>
              </w:rPr>
              <w:t>6.0%</w:t>
            </w:r>
          </w:p>
        </w:tc>
        <w:tc>
          <w:tcPr>
            <w:tcW w:type="dxa" w:w="1999"/>
            <w:vAlign w:val="center"/>
          </w:tcPr>
          <w:p>
            <w:pPr>
              <w:spacing w:after="40"/>
            </w:pPr>
            <w:r>
              <w:rPr>
                <w:sz w:val="18"/>
              </w:rPr>
              <w:t>0.300%</w:t>
            </w:r>
          </w:p>
        </w:tc>
        <w:tc>
          <w:tcPr>
            <w:tcW w:type="dxa" w:w="1999"/>
            <w:vAlign w:val="center"/>
          </w:tcPr>
          <w:p>
            <w:pPr>
              <w:spacing w:after="40"/>
            </w:pPr>
            <w:r>
              <w:rPr>
                <w:sz w:val="18"/>
              </w:rPr>
              <w:t>20:1</w:t>
            </w:r>
          </w:p>
        </w:tc>
        <w:tc>
          <w:tcPr>
            <w:tcW w:type="dxa" w:w="1999"/>
            <w:vAlign w:val="center"/>
          </w:tcPr>
          <w:p>
            <w:pPr>
              <w:spacing w:after="40"/>
            </w:pPr>
            <w:r>
              <w:rPr>
                <w:sz w:val="18"/>
              </w:rPr>
              <w:t>Visible, but leakage may wash out accumulation</w:t>
            </w:r>
          </w:p>
        </w:tc>
      </w:tr>
      <w:tr>
        <w:tc>
          <w:tcPr>
            <w:tcW w:type="dxa" w:w="1999"/>
            <w:vAlign w:val="center"/>
            <w:shd w:fill="F5F8F9"/>
          </w:tcPr>
          <w:p>
            <w:pPr>
              <w:spacing w:after="40"/>
            </w:pPr>
            <w:r>
              <w:rPr>
                <w:sz w:val="18"/>
              </w:rPr>
              <w:t>Two matched panels</w:t>
            </w:r>
          </w:p>
        </w:tc>
        <w:tc>
          <w:tcPr>
            <w:tcW w:type="dxa" w:w="1999"/>
            <w:vAlign w:val="center"/>
            <w:shd w:fill="F5F8F9"/>
          </w:tcPr>
          <w:p>
            <w:pPr>
              <w:spacing w:after="40"/>
            </w:pPr>
            <w:r>
              <w:rPr>
                <w:sz w:val="18"/>
              </w:rPr>
              <w:t>0.360%</w:t>
            </w:r>
          </w:p>
        </w:tc>
        <w:tc>
          <w:tcPr>
            <w:tcW w:type="dxa" w:w="1999"/>
            <w:vAlign w:val="center"/>
            <w:shd w:fill="F5F8F9"/>
          </w:tcPr>
          <w:p>
            <w:pPr>
              <w:spacing w:after="40"/>
            </w:pPr>
            <w:r>
              <w:rPr>
                <w:sz w:val="18"/>
              </w:rPr>
              <w:t>0.0009%</w:t>
            </w:r>
          </w:p>
        </w:tc>
        <w:tc>
          <w:tcPr>
            <w:tcW w:type="dxa" w:w="1999"/>
            <w:vAlign w:val="center"/>
            <w:shd w:fill="F5F8F9"/>
          </w:tcPr>
          <w:p>
            <w:pPr>
              <w:spacing w:after="40"/>
            </w:pPr>
            <w:r>
              <w:rPr>
                <w:sz w:val="18"/>
              </w:rPr>
              <w:t>400:1</w:t>
            </w:r>
          </w:p>
        </w:tc>
        <w:tc>
          <w:tcPr>
            <w:tcW w:type="dxa" w:w="1999"/>
            <w:vAlign w:val="center"/>
            <w:shd w:fill="F5F8F9"/>
          </w:tcPr>
          <w:p>
            <w:pPr>
              <w:spacing w:after="40"/>
            </w:pPr>
            <w:r>
              <w:rPr>
                <w:sz w:val="18"/>
              </w:rPr>
              <w:t>Potentially useful, but only 6% of the single-panel open light remains</w:t>
            </w:r>
          </w:p>
        </w:tc>
      </w:tr>
      <w:tr>
        <w:tc>
          <w:tcPr>
            <w:tcW w:type="dxa" w:w="1999"/>
            <w:vAlign w:val="center"/>
          </w:tcPr>
          <w:p>
            <w:pPr>
              <w:spacing w:after="40"/>
            </w:pPr>
            <w:r>
              <w:rPr>
                <w:sz w:val="18"/>
              </w:rPr>
              <w:t>Three matched panels</w:t>
            </w:r>
          </w:p>
        </w:tc>
        <w:tc>
          <w:tcPr>
            <w:tcW w:type="dxa" w:w="1999"/>
            <w:vAlign w:val="center"/>
          </w:tcPr>
          <w:p>
            <w:pPr>
              <w:spacing w:after="40"/>
            </w:pPr>
            <w:r>
              <w:rPr>
                <w:sz w:val="18"/>
              </w:rPr>
              <w:t>0.0216%</w:t>
            </w:r>
          </w:p>
        </w:tc>
        <w:tc>
          <w:tcPr>
            <w:tcW w:type="dxa" w:w="1999"/>
            <w:vAlign w:val="center"/>
          </w:tcPr>
          <w:p>
            <w:pPr>
              <w:spacing w:after="40"/>
            </w:pPr>
            <w:r>
              <w:rPr>
                <w:sz w:val="18"/>
              </w:rPr>
              <w:t>0.0000027%</w:t>
            </w:r>
          </w:p>
        </w:tc>
        <w:tc>
          <w:tcPr>
            <w:tcW w:type="dxa" w:w="1999"/>
            <w:vAlign w:val="center"/>
          </w:tcPr>
          <w:p>
            <w:pPr>
              <w:spacing w:after="40"/>
            </w:pPr>
            <w:r>
              <w:rPr>
                <w:sz w:val="18"/>
              </w:rPr>
              <w:t>8,000:1</w:t>
            </w:r>
          </w:p>
        </w:tc>
        <w:tc>
          <w:tcPr>
            <w:tcW w:type="dxa" w:w="1999"/>
            <w:vAlign w:val="center"/>
          </w:tcPr>
          <w:p>
            <w:pPr>
              <w:spacing w:after="40"/>
            </w:pPr>
            <w:r>
              <w:rPr>
                <w:sz w:val="18"/>
              </w:rPr>
              <w:t>Usually impractical because open-field brightness collapses</w:t>
            </w:r>
          </w:p>
        </w:tc>
      </w:tr>
    </w:tbl>
    <w:p>
      <w:pPr>
        <w:spacing w:after="0"/>
      </w:pPr>
    </w:p>
    <w:p>
      <w:r>
        <w:t>The table is a sensitivity example using assumed values, not a prediction for a particular LCD. Replace 6.0% and 0.300% with bench measurements. If stray light contributes even a small additive floor, the realised contrast can be far below the ideal squared or cubed value.</w:t>
      </w:r>
    </w:p>
    <w:p>
      <w:pPr>
        <w:pStyle w:val="Heading2"/>
      </w:pPr>
      <w:r>
        <w:t>Refraction and registration in a stack</w:t>
      </w:r>
    </w:p>
    <w:p>
      <w:r>
        <w:t>Thin panels do not remove the main geometric problem. A plane-parallel glass plate returns an emerging ray to its original direction but shifts it laterally. More importantly, a gap between two patterned planes creates parallax. For panel separation g and chief-ray angle theta, the mask displacement is approximately g tan theta. With a 10 degree edge ray, a 1 mm gap gives 0.176 mm displacement at the panel, or about 0.31 mm at isocentre with the 250/140 magnification. A 2 mm gap doubles that value. This broadens or clips the field edge unless the second mask is pre-warped for the known source geometry.</w:t>
      </w:r>
    </w:p>
    <w:p>
      <w:pPr>
        <w:ind w:left="360" w:hanging="230"/>
      </w:pPr>
      <w:r>
        <w:t>• Use the smallest mechanically safe glass-to-glass separation; remove decorative cover windows when this can be done without damaging the panel.</w:t>
      </w:r>
    </w:p>
    <w:p>
      <w:pPr>
        <w:ind w:left="360" w:hanging="230"/>
      </w:pPr>
      <w:r>
        <w:t>• Register panels with a projected checkerboard and subpixel image correlation, not by aligning their outer frames.</w:t>
      </w:r>
    </w:p>
    <w:p>
      <w:pPr>
        <w:ind w:left="360" w:hanging="230"/>
      </w:pPr>
      <w:r>
        <w:t>• Generate a separate perspective-warped mask for each panel plane. Do not simply send identical pixel coordinates to both panels.</w:t>
      </w:r>
    </w:p>
    <w:p>
      <w:pPr>
        <w:ind w:left="360" w:hanging="230"/>
      </w:pPr>
      <w:r>
        <w:t>• Measure contrast and edge spread at the centre, four field edges and four corners; a central photograph alone is insufficient.</w:t>
      </w:r>
    </w:p>
    <w:p>
      <w:pPr>
        <w:pStyle w:val="Heading2"/>
      </w:pPr>
      <w:r>
        <w:t>Wavelength and filter strategy</w:t>
      </w:r>
    </w:p>
    <w:p>
      <w:r>
        <w:t>A neutral-density filter placed in the common beam path reduces open and closed light almost equally, so it does not improve contrast. It is useful only to prevent camera saturation or to balance exposures. A narrow-band filter can improve contrast only if the panel has a better extinction ratio at the selected wavelength. The correct choice is therefore experimental: measure open and closed transmission versus wavelength, then maximise the useful metric rather than brightness alone.</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98"/>
        <w:gridCol w:w="2498"/>
        <w:gridCol w:w="2498"/>
        <w:gridCol w:w="2498"/>
      </w:tblGrid>
      <w:tr>
        <w:tc>
          <w:tcPr>
            <w:tcW w:type="dxa" w:w="2498"/>
            <w:shd w:fill="176B87"/>
            <w:vAlign w:val="center"/>
          </w:tcPr>
          <w:p>
            <w:r>
              <w:rPr>
                <w:b/>
                <w:color w:val="FFFFFF"/>
                <w:sz w:val="18"/>
              </w:rPr>
              <w:t>Option</w:t>
            </w:r>
          </w:p>
        </w:tc>
        <w:tc>
          <w:tcPr>
            <w:tcW w:type="dxa" w:w="2498"/>
            <w:shd w:fill="176B87"/>
            <w:vAlign w:val="center"/>
          </w:tcPr>
          <w:p>
            <w:r>
              <w:rPr>
                <w:b/>
                <w:color w:val="FFFFFF"/>
                <w:sz w:val="18"/>
              </w:rPr>
              <w:t>Expected benefit</w:t>
            </w:r>
          </w:p>
        </w:tc>
        <w:tc>
          <w:tcPr>
            <w:tcW w:type="dxa" w:w="2498"/>
            <w:shd w:fill="176B87"/>
            <w:vAlign w:val="center"/>
          </w:tcPr>
          <w:p>
            <w:r>
              <w:rPr>
                <w:b/>
                <w:color w:val="FFFFFF"/>
                <w:sz w:val="18"/>
              </w:rPr>
              <w:t>Main cost or risk</w:t>
            </w:r>
          </w:p>
        </w:tc>
        <w:tc>
          <w:tcPr>
            <w:tcW w:type="dxa" w:w="2498"/>
            <w:shd w:fill="176B87"/>
            <w:vAlign w:val="center"/>
          </w:tcPr>
          <w:p>
            <w:r>
              <w:rPr>
                <w:b/>
                <w:color w:val="FFFFFF"/>
                <w:sz w:val="18"/>
              </w:rPr>
              <w:t>Decision rule</w:t>
            </w:r>
          </w:p>
        </w:tc>
      </w:tr>
      <w:tr>
        <w:tc>
          <w:tcPr>
            <w:tcW w:type="dxa" w:w="2498"/>
            <w:vAlign w:val="center"/>
          </w:tcPr>
          <w:p>
            <w:pPr>
              <w:spacing w:after="40"/>
            </w:pPr>
            <w:r>
              <w:rPr>
                <w:sz w:val="18"/>
              </w:rPr>
              <w:t>Green LED plus green band-pass filter</w:t>
            </w:r>
          </w:p>
        </w:tc>
        <w:tc>
          <w:tcPr>
            <w:tcW w:type="dxa" w:w="2498"/>
            <w:vAlign w:val="center"/>
          </w:tcPr>
          <w:p>
            <w:pPr>
              <w:spacing w:after="40"/>
            </w:pPr>
            <w:r>
              <w:rPr>
                <w:sz w:val="18"/>
              </w:rPr>
              <w:t>Rejects ambient and spectral leakage outside the green band</w:t>
            </w:r>
          </w:p>
        </w:tc>
        <w:tc>
          <w:tcPr>
            <w:tcW w:type="dxa" w:w="2498"/>
            <w:vAlign w:val="center"/>
          </w:tcPr>
          <w:p>
            <w:pPr>
              <w:spacing w:after="40"/>
            </w:pPr>
            <w:r>
              <w:rPr>
                <w:sz w:val="18"/>
              </w:rPr>
              <w:t>Filter loss; benefit may be negligible if leakage is also green</w:t>
            </w:r>
          </w:p>
        </w:tc>
        <w:tc>
          <w:tcPr>
            <w:tcW w:type="dxa" w:w="2498"/>
            <w:vAlign w:val="center"/>
          </w:tcPr>
          <w:p>
            <w:pPr>
              <w:spacing w:after="40"/>
            </w:pPr>
            <w:r>
              <w:rPr>
                <w:sz w:val="18"/>
              </w:rPr>
              <w:t>Keep only if measured contrast improves and open signal remains adequate</w:t>
            </w:r>
          </w:p>
        </w:tc>
      </w:tr>
      <w:tr>
        <w:tc>
          <w:tcPr>
            <w:tcW w:type="dxa" w:w="2498"/>
            <w:vAlign w:val="center"/>
            <w:shd w:fill="F5F8F9"/>
          </w:tcPr>
          <w:p>
            <w:pPr>
              <w:spacing w:after="40"/>
            </w:pPr>
            <w:r>
              <w:rPr>
                <w:sz w:val="18"/>
              </w:rPr>
              <w:t>Single-colour subpixels on a colour TFT</w:t>
            </w:r>
          </w:p>
        </w:tc>
        <w:tc>
          <w:tcPr>
            <w:tcW w:type="dxa" w:w="2498"/>
            <w:vAlign w:val="center"/>
            <w:shd w:fill="F5F8F9"/>
          </w:tcPr>
          <w:p>
            <w:pPr>
              <w:spacing w:after="40"/>
            </w:pPr>
            <w:r>
              <w:rPr>
                <w:sz w:val="18"/>
              </w:rPr>
              <w:t>Avoids mixing three subpixel spectra and may reduce colour-channel leakage</w:t>
            </w:r>
          </w:p>
        </w:tc>
        <w:tc>
          <w:tcPr>
            <w:tcW w:type="dxa" w:w="2498"/>
            <w:vAlign w:val="center"/>
            <w:shd w:fill="F5F8F9"/>
          </w:tcPr>
          <w:p>
            <w:pPr>
              <w:spacing w:after="40"/>
            </w:pPr>
            <w:r>
              <w:rPr>
                <w:sz w:val="18"/>
              </w:rPr>
              <w:t>Lower fill factor and brightness</w:t>
            </w:r>
          </w:p>
        </w:tc>
        <w:tc>
          <w:tcPr>
            <w:tcW w:type="dxa" w:w="2498"/>
            <w:vAlign w:val="center"/>
            <w:shd w:fill="F5F8F9"/>
          </w:tcPr>
          <w:p>
            <w:pPr>
              <w:spacing w:after="40"/>
            </w:pPr>
            <w:r>
              <w:rPr>
                <w:sz w:val="18"/>
              </w:rPr>
              <w:t>Test red, green and blue separately; choose the highest measured contrast-to-noise ratio</w:t>
            </w:r>
          </w:p>
        </w:tc>
      </w:tr>
      <w:tr>
        <w:tc>
          <w:tcPr>
            <w:tcW w:type="dxa" w:w="2498"/>
            <w:vAlign w:val="center"/>
          </w:tcPr>
          <w:p>
            <w:pPr>
              <w:spacing w:after="40"/>
            </w:pPr>
            <w:r>
              <w:rPr>
                <w:sz w:val="18"/>
              </w:rPr>
              <w:t>Monochrome transmissive LCD</w:t>
            </w:r>
          </w:p>
        </w:tc>
        <w:tc>
          <w:tcPr>
            <w:tcW w:type="dxa" w:w="2498"/>
            <w:vAlign w:val="center"/>
          </w:tcPr>
          <w:p>
            <w:pPr>
              <w:spacing w:after="40"/>
            </w:pPr>
            <w:r>
              <w:rPr>
                <w:sz w:val="18"/>
              </w:rPr>
              <w:t>Higher useful fill factor and no RGB colour filter array</w:t>
            </w:r>
          </w:p>
        </w:tc>
        <w:tc>
          <w:tcPr>
            <w:tcW w:type="dxa" w:w="2498"/>
            <w:vAlign w:val="center"/>
          </w:tcPr>
          <w:p>
            <w:pPr>
              <w:spacing w:after="40"/>
            </w:pPr>
            <w:r>
              <w:rPr>
                <w:sz w:val="18"/>
              </w:rPr>
              <w:t>Less common and may require custom drive electronics</w:t>
            </w:r>
          </w:p>
        </w:tc>
        <w:tc>
          <w:tcPr>
            <w:tcW w:type="dxa" w:w="2498"/>
            <w:vAlign w:val="center"/>
          </w:tcPr>
          <w:p>
            <w:pPr>
              <w:spacing w:after="40"/>
            </w:pPr>
            <w:r>
              <w:rPr>
                <w:sz w:val="18"/>
              </w:rPr>
              <w:t>Preferred LCD route if a documented, removable-backlight panel is available</w:t>
            </w:r>
          </w:p>
        </w:tc>
      </w:tr>
      <w:tr>
        <w:tc>
          <w:tcPr>
            <w:tcW w:type="dxa" w:w="2498"/>
            <w:vAlign w:val="center"/>
            <w:shd w:fill="F5F8F9"/>
          </w:tcPr>
          <w:p>
            <w:pPr>
              <w:spacing w:after="40"/>
            </w:pPr>
            <w:r>
              <w:rPr>
                <w:sz w:val="18"/>
              </w:rPr>
              <w:t>Extra external analyser</w:t>
            </w:r>
          </w:p>
        </w:tc>
        <w:tc>
          <w:tcPr>
            <w:tcW w:type="dxa" w:w="2498"/>
            <w:vAlign w:val="center"/>
            <w:shd w:fill="F5F8F9"/>
          </w:tcPr>
          <w:p>
            <w:pPr>
              <w:spacing w:after="40"/>
            </w:pPr>
            <w:r>
              <w:rPr>
                <w:sz w:val="18"/>
              </w:rPr>
              <w:t>Can deepen extinction when polarisation is preserved</w:t>
            </w:r>
          </w:p>
        </w:tc>
        <w:tc>
          <w:tcPr>
            <w:tcW w:type="dxa" w:w="2498"/>
            <w:vAlign w:val="center"/>
            <w:shd w:fill="F5F8F9"/>
          </w:tcPr>
          <w:p>
            <w:pPr>
              <w:spacing w:after="40"/>
            </w:pPr>
            <w:r>
              <w:rPr>
                <w:sz w:val="18"/>
              </w:rPr>
              <w:t>Severe brightness loss; angle and orientation sensitive</w:t>
            </w:r>
          </w:p>
        </w:tc>
        <w:tc>
          <w:tcPr>
            <w:tcW w:type="dxa" w:w="2498"/>
            <w:vAlign w:val="center"/>
            <w:shd w:fill="F5F8F9"/>
          </w:tcPr>
          <w:p>
            <w:pPr>
              <w:spacing w:after="40"/>
            </w:pPr>
            <w:r>
              <w:rPr>
                <w:sz w:val="18"/>
              </w:rPr>
              <w:t>Rotate while measuring; retain only if contrast gain exceeds throughput penalty</w:t>
            </w:r>
          </w:p>
        </w:tc>
      </w:tr>
      <w:tr>
        <w:tc>
          <w:tcPr>
            <w:tcW w:type="dxa" w:w="2498"/>
            <w:vAlign w:val="center"/>
          </w:tcPr>
          <w:p>
            <w:pPr>
              <w:spacing w:after="40"/>
            </w:pPr>
            <w:r>
              <w:rPr>
                <w:sz w:val="18"/>
              </w:rPr>
              <w:t>Camera spectral filter</w:t>
            </w:r>
          </w:p>
        </w:tc>
        <w:tc>
          <w:tcPr>
            <w:tcW w:type="dxa" w:w="2498"/>
            <w:vAlign w:val="center"/>
          </w:tcPr>
          <w:p>
            <w:pPr>
              <w:spacing w:after="40"/>
            </w:pPr>
            <w:r>
              <w:rPr>
                <w:sz w:val="18"/>
              </w:rPr>
              <w:t>Suppresses room light without attenuating the selected LED as strongly</w:t>
            </w:r>
          </w:p>
        </w:tc>
        <w:tc>
          <w:tcPr>
            <w:tcW w:type="dxa" w:w="2498"/>
            <w:vAlign w:val="center"/>
          </w:tcPr>
          <w:p>
            <w:pPr>
              <w:spacing w:after="40"/>
            </w:pPr>
            <w:r>
              <w:rPr>
                <w:sz w:val="18"/>
              </w:rPr>
              <w:t>Helps the recorded dose display, not naked-eye viewing</w:t>
            </w:r>
          </w:p>
        </w:tc>
        <w:tc>
          <w:tcPr>
            <w:tcW w:type="dxa" w:w="2498"/>
            <w:vAlign w:val="center"/>
          </w:tcPr>
          <w:p>
            <w:pPr>
              <w:spacing w:after="40"/>
            </w:pPr>
            <w:r>
              <w:rPr>
                <w:sz w:val="18"/>
              </w:rPr>
              <w:t>Recommended for camera accumulation</w:t>
            </w:r>
          </w:p>
        </w:tc>
      </w:tr>
    </w:tbl>
    <w:p>
      <w:pPr>
        <w:spacing w:after="0"/>
      </w:pPr>
    </w:p>
    <w:p>
      <w:pPr>
        <w:pStyle w:val="Heading2"/>
      </w:pPr>
      <w:r>
        <w:t>Bench experiment and acceptance gates</w:t>
      </w:r>
    </w:p>
    <w:p>
      <w:pPr>
        <w:ind w:left="403" w:hanging="317"/>
      </w:pPr>
      <w:r>
        <w:rPr>
          <w:b/>
        </w:rPr>
        <w:t xml:space="preserve">1. </w:t>
      </w:r>
      <w:r>
        <w:t>Build a straight optical rail with the source, pinhole, candidate panel, optional filter or second panel, and screen at the final SCD and SAD.</w:t>
      </w:r>
    </w:p>
    <w:p>
      <w:pPr>
        <w:ind w:left="403" w:hanging="317"/>
      </w:pPr>
      <w:r>
        <w:rPr>
          <w:b/>
        </w:rPr>
        <w:t xml:space="preserve">2. </w:t>
      </w:r>
      <w:r>
        <w:t>Warm the source and panel for ten minutes. Lock camera exposure, gain, focus, white balance and aperture. Record a dark frame.</w:t>
      </w:r>
    </w:p>
    <w:p>
      <w:pPr>
        <w:ind w:left="403" w:hanging="317"/>
      </w:pPr>
      <w:r>
        <w:rPr>
          <w:b/>
        </w:rPr>
        <w:t xml:space="preserve">3. </w:t>
      </w:r>
      <w:r>
        <w:t>Display all-open, all-closed, 50% checkerboard, a 20 mm square at isocentre scale, 1-pixel lines, and the most complex planned aperture.</w:t>
      </w:r>
    </w:p>
    <w:p>
      <w:pPr>
        <w:ind w:left="403" w:hanging="317"/>
      </w:pPr>
      <w:r>
        <w:rPr>
          <w:b/>
        </w:rPr>
        <w:t xml:space="preserve">4. </w:t>
      </w:r>
      <w:r>
        <w:t>Measure median open and closed signals after dark subtraction. Repeat at field centre and corners, and at the maximum intended ray angle.</w:t>
      </w:r>
    </w:p>
    <w:p>
      <w:pPr>
        <w:ind w:left="403" w:hanging="317"/>
      </w:pPr>
      <w:r>
        <w:rPr>
          <w:b/>
        </w:rPr>
        <w:t xml:space="preserve">5. </w:t>
      </w:r>
      <w:r>
        <w:t>Measure the 20% to 80% edge width, geometric scale, distortion, ghost images and temperature rise. Repeat after thirty minutes.</w:t>
      </w:r>
    </w:p>
    <w:p>
      <w:pPr>
        <w:ind w:left="403" w:hanging="317"/>
      </w:pPr>
      <w:r>
        <w:rPr>
          <w:b/>
        </w:rPr>
        <w:t xml:space="preserve">6. </w:t>
      </w:r>
      <w:r>
        <w:t>Run the same protocol for each wavelength, filter and stack. Do not change camera exposure within a comparison set.</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c>
          <w:tcPr>
            <w:tcW w:type="dxa" w:w="3331"/>
            <w:shd w:fill="176B87"/>
            <w:vAlign w:val="center"/>
          </w:tcPr>
          <w:p>
            <w:r>
              <w:rPr>
                <w:b/>
                <w:color w:val="FFFFFF"/>
                <w:sz w:val="18"/>
              </w:rPr>
              <w:t>Gate</w:t>
            </w:r>
          </w:p>
        </w:tc>
        <w:tc>
          <w:tcPr>
            <w:tcW w:type="dxa" w:w="3331"/>
            <w:shd w:fill="176B87"/>
            <w:vAlign w:val="center"/>
          </w:tcPr>
          <w:p>
            <w:r>
              <w:rPr>
                <w:b/>
                <w:color w:val="FFFFFF"/>
                <w:sz w:val="18"/>
              </w:rPr>
              <w:t>Minimum requirement for prototype</w:t>
            </w:r>
          </w:p>
        </w:tc>
        <w:tc>
          <w:tcPr>
            <w:tcW w:type="dxa" w:w="3331"/>
            <w:shd w:fill="176B87"/>
            <w:vAlign w:val="center"/>
          </w:tcPr>
          <w:p>
            <w:r>
              <w:rPr>
                <w:b/>
                <w:color w:val="FFFFFF"/>
                <w:sz w:val="18"/>
              </w:rPr>
              <w:t>Preferred target</w:t>
            </w:r>
          </w:p>
        </w:tc>
      </w:tr>
      <w:tr>
        <w:tc>
          <w:tcPr>
            <w:tcW w:type="dxa" w:w="3331"/>
            <w:vAlign w:val="center"/>
          </w:tcPr>
          <w:p>
            <w:pPr>
              <w:spacing w:after="40"/>
            </w:pPr>
            <w:r>
              <w:rPr>
                <w:sz w:val="18"/>
              </w:rPr>
              <w:t>Open-to-closed ratio after dark subtraction</w:t>
            </w:r>
          </w:p>
        </w:tc>
        <w:tc>
          <w:tcPr>
            <w:tcW w:type="dxa" w:w="3331"/>
            <w:vAlign w:val="center"/>
          </w:tcPr>
          <w:p>
            <w:pPr>
              <w:spacing w:after="40"/>
            </w:pPr>
            <w:r>
              <w:rPr>
                <w:sz w:val="18"/>
              </w:rPr>
              <w:t>10:1 everywhere in the useful field</w:t>
            </w:r>
          </w:p>
        </w:tc>
        <w:tc>
          <w:tcPr>
            <w:tcW w:type="dxa" w:w="3331"/>
            <w:vAlign w:val="center"/>
          </w:tcPr>
          <w:p>
            <w:pPr>
              <w:spacing w:after="40"/>
            </w:pPr>
            <w:r>
              <w:rPr>
                <w:sz w:val="18"/>
              </w:rPr>
              <w:t>30:1 or better</w:t>
            </w:r>
          </w:p>
        </w:tc>
      </w:tr>
      <w:tr>
        <w:tc>
          <w:tcPr>
            <w:tcW w:type="dxa" w:w="3331"/>
            <w:vAlign w:val="center"/>
            <w:shd w:fill="F5F8F9"/>
          </w:tcPr>
          <w:p>
            <w:pPr>
              <w:spacing w:after="40"/>
            </w:pPr>
            <w:r>
              <w:rPr>
                <w:sz w:val="18"/>
              </w:rPr>
              <w:t>Closed-field signal</w:t>
            </w:r>
          </w:p>
        </w:tc>
        <w:tc>
          <w:tcPr>
            <w:tcW w:type="dxa" w:w="3331"/>
            <w:vAlign w:val="center"/>
            <w:shd w:fill="F5F8F9"/>
          </w:tcPr>
          <w:p>
            <w:pPr>
              <w:spacing w:after="40"/>
            </w:pPr>
            <w:r>
              <w:rPr>
                <w:sz w:val="18"/>
              </w:rPr>
              <w:t>Does not dominate the accumulated target image</w:t>
            </w:r>
          </w:p>
        </w:tc>
        <w:tc>
          <w:tcPr>
            <w:tcW w:type="dxa" w:w="3331"/>
            <w:vAlign w:val="center"/>
            <w:shd w:fill="F5F8F9"/>
          </w:tcPr>
          <w:p>
            <w:pPr>
              <w:spacing w:after="40"/>
            </w:pPr>
            <w:r>
              <w:rPr>
                <w:sz w:val="18"/>
              </w:rPr>
              <w:t>Below 3% of open signal</w:t>
            </w:r>
          </w:p>
        </w:tc>
      </w:tr>
      <w:tr>
        <w:tc>
          <w:tcPr>
            <w:tcW w:type="dxa" w:w="3331"/>
            <w:vAlign w:val="center"/>
          </w:tcPr>
          <w:p>
            <w:pPr>
              <w:spacing w:after="40"/>
            </w:pPr>
            <w:r>
              <w:rPr>
                <w:sz w:val="18"/>
              </w:rPr>
              <w:t>Edge spread at isocentre</w:t>
            </w:r>
          </w:p>
        </w:tc>
        <w:tc>
          <w:tcPr>
            <w:tcW w:type="dxa" w:w="3331"/>
            <w:vAlign w:val="center"/>
          </w:tcPr>
          <w:p>
            <w:pPr>
              <w:spacing w:after="40"/>
            </w:pPr>
            <w:r>
              <w:rPr>
                <w:sz w:val="18"/>
              </w:rPr>
              <w:t>2.0 mm or less</w:t>
            </w:r>
          </w:p>
        </w:tc>
        <w:tc>
          <w:tcPr>
            <w:tcW w:type="dxa" w:w="3331"/>
            <w:vAlign w:val="center"/>
          </w:tcPr>
          <w:p>
            <w:pPr>
              <w:spacing w:after="40"/>
            </w:pPr>
            <w:r>
              <w:rPr>
                <w:sz w:val="18"/>
              </w:rPr>
              <w:t>1.0 mm or less</w:t>
            </w:r>
          </w:p>
        </w:tc>
      </w:tr>
      <w:tr>
        <w:tc>
          <w:tcPr>
            <w:tcW w:type="dxa" w:w="3331"/>
            <w:vAlign w:val="center"/>
            <w:shd w:fill="F5F8F9"/>
          </w:tcPr>
          <w:p>
            <w:pPr>
              <w:spacing w:after="40"/>
            </w:pPr>
            <w:r>
              <w:rPr>
                <w:sz w:val="18"/>
              </w:rPr>
              <w:t>Geometric registration across gantry angles</w:t>
            </w:r>
          </w:p>
        </w:tc>
        <w:tc>
          <w:tcPr>
            <w:tcW w:type="dxa" w:w="3331"/>
            <w:vAlign w:val="center"/>
            <w:shd w:fill="F5F8F9"/>
          </w:tcPr>
          <w:p>
            <w:pPr>
              <w:spacing w:after="40"/>
            </w:pPr>
            <w:r>
              <w:rPr>
                <w:sz w:val="18"/>
              </w:rPr>
              <w:t>1.0 mm or less</w:t>
            </w:r>
          </w:p>
        </w:tc>
        <w:tc>
          <w:tcPr>
            <w:tcW w:type="dxa" w:w="3331"/>
            <w:vAlign w:val="center"/>
            <w:shd w:fill="F5F8F9"/>
          </w:tcPr>
          <w:p>
            <w:pPr>
              <w:spacing w:after="40"/>
            </w:pPr>
            <w:r>
              <w:rPr>
                <w:sz w:val="18"/>
              </w:rPr>
              <w:t>0.5 mm or less</w:t>
            </w:r>
          </w:p>
        </w:tc>
      </w:tr>
      <w:tr>
        <w:tc>
          <w:tcPr>
            <w:tcW w:type="dxa" w:w="3331"/>
            <w:vAlign w:val="center"/>
          </w:tcPr>
          <w:p>
            <w:pPr>
              <w:spacing w:after="40"/>
            </w:pPr>
            <w:r>
              <w:rPr>
                <w:sz w:val="18"/>
              </w:rPr>
              <w:t>Thermal drift over 30 minutes</w:t>
            </w:r>
          </w:p>
        </w:tc>
        <w:tc>
          <w:tcPr>
            <w:tcW w:type="dxa" w:w="3331"/>
            <w:vAlign w:val="center"/>
          </w:tcPr>
          <w:p>
            <w:pPr>
              <w:spacing w:after="40"/>
            </w:pPr>
            <w:r>
              <w:rPr>
                <w:sz w:val="18"/>
              </w:rPr>
              <w:t>No visible mask shift or contrast collapse</w:t>
            </w:r>
          </w:p>
        </w:tc>
        <w:tc>
          <w:tcPr>
            <w:tcW w:type="dxa" w:w="3331"/>
            <w:vAlign w:val="center"/>
          </w:tcPr>
          <w:p>
            <w:pPr>
              <w:spacing w:after="40"/>
            </w:pPr>
            <w:r>
              <w:rPr>
                <w:sz w:val="18"/>
              </w:rPr>
              <w:t>Less than 10% change in measured contrast</w:t>
            </w:r>
          </w:p>
        </w:tc>
      </w:tr>
    </w:tbl>
    <w:p>
      <w:pPr>
        <w:spacing w:after="0"/>
      </w:pPr>
    </w:p>
    <w:p>
      <w:r>
        <w:t>These are project acceptance criteria, not clinical tolerances. Adjust them after the first reproducibility study, but record the change and its reason.</w:t>
      </w:r>
    </w:p>
    <w:p>
      <w:pPr>
        <w:pStyle w:val="Heading2"/>
      </w:pPr>
      <w:r>
        <w:t>Recommended architecture ladder</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c>
          <w:tcPr>
            <w:tcW w:type="dxa" w:w="3331"/>
            <w:shd w:fill="176B87"/>
            <w:vAlign w:val="center"/>
          </w:tcPr>
          <w:p>
            <w:r>
              <w:rPr>
                <w:b/>
                <w:color w:val="FFFFFF"/>
                <w:sz w:val="18"/>
              </w:rPr>
              <w:t>Priority</w:t>
            </w:r>
          </w:p>
        </w:tc>
        <w:tc>
          <w:tcPr>
            <w:tcW w:type="dxa" w:w="3331"/>
            <w:shd w:fill="176B87"/>
            <w:vAlign w:val="center"/>
          </w:tcPr>
          <w:p>
            <w:r>
              <w:rPr>
                <w:b/>
                <w:color w:val="FFFFFF"/>
                <w:sz w:val="18"/>
              </w:rPr>
              <w:t>Architecture</w:t>
            </w:r>
          </w:p>
        </w:tc>
        <w:tc>
          <w:tcPr>
            <w:tcW w:type="dxa" w:w="3331"/>
            <w:shd w:fill="176B87"/>
            <w:vAlign w:val="center"/>
          </w:tcPr>
          <w:p>
            <w:r>
              <w:rPr>
                <w:b/>
                <w:color w:val="FFFFFF"/>
                <w:sz w:val="18"/>
              </w:rPr>
              <w:t>Why it belongs in the plan</w:t>
            </w:r>
          </w:p>
        </w:tc>
      </w:tr>
      <w:tr>
        <w:tc>
          <w:tcPr>
            <w:tcW w:type="dxa" w:w="3331"/>
            <w:vAlign w:val="center"/>
          </w:tcPr>
          <w:p>
            <w:pPr>
              <w:spacing w:after="40"/>
            </w:pPr>
            <w:r>
              <w:rPr>
                <w:sz w:val="18"/>
              </w:rPr>
              <w:t>A</w:t>
            </w:r>
          </w:p>
        </w:tc>
        <w:tc>
          <w:tcPr>
            <w:tcW w:type="dxa" w:w="3331"/>
            <w:vAlign w:val="center"/>
          </w:tcPr>
          <w:p>
            <w:pPr>
              <w:spacing w:after="40"/>
            </w:pPr>
            <w:r>
              <w:rPr>
                <w:sz w:val="18"/>
              </w:rPr>
              <w:t>One LCD, narrow-angle source, black enclosure, camera dark subtraction</w:t>
            </w:r>
          </w:p>
        </w:tc>
        <w:tc>
          <w:tcPr>
            <w:tcW w:type="dxa" w:w="3331"/>
            <w:vAlign w:val="center"/>
          </w:tcPr>
          <w:p>
            <w:pPr>
              <w:spacing w:after="40"/>
            </w:pPr>
            <w:r>
              <w:rPr>
                <w:sz w:val="18"/>
              </w:rPr>
              <w:t>Lowest cost and complexity; establishes the true baseline</w:t>
            </w:r>
          </w:p>
        </w:tc>
      </w:tr>
      <w:tr>
        <w:tc>
          <w:tcPr>
            <w:tcW w:type="dxa" w:w="3331"/>
            <w:vAlign w:val="center"/>
            <w:shd w:fill="F5F8F9"/>
          </w:tcPr>
          <w:p>
            <w:pPr>
              <w:spacing w:after="40"/>
            </w:pPr>
            <w:r>
              <w:rPr>
                <w:sz w:val="18"/>
              </w:rPr>
              <w:t>B</w:t>
            </w:r>
          </w:p>
        </w:tc>
        <w:tc>
          <w:tcPr>
            <w:tcW w:type="dxa" w:w="3331"/>
            <w:vAlign w:val="center"/>
            <w:shd w:fill="F5F8F9"/>
          </w:tcPr>
          <w:p>
            <w:pPr>
              <w:spacing w:after="40"/>
            </w:pPr>
            <w:r>
              <w:rPr>
                <w:sz w:val="18"/>
              </w:rPr>
              <w:t>One monochrome LCD or best single colour channel plus matched optical filter</w:t>
            </w:r>
          </w:p>
        </w:tc>
        <w:tc>
          <w:tcPr>
            <w:tcW w:type="dxa" w:w="3331"/>
            <w:vAlign w:val="center"/>
            <w:shd w:fill="F5F8F9"/>
          </w:tcPr>
          <w:p>
            <w:pPr>
              <w:spacing w:after="40"/>
            </w:pPr>
            <w:r>
              <w:rPr>
                <w:sz w:val="18"/>
              </w:rPr>
              <w:t>Improves spectral efficiency without registration problems</w:t>
            </w:r>
          </w:p>
        </w:tc>
      </w:tr>
      <w:tr>
        <w:tc>
          <w:tcPr>
            <w:tcW w:type="dxa" w:w="3331"/>
            <w:vAlign w:val="center"/>
          </w:tcPr>
          <w:p>
            <w:pPr>
              <w:spacing w:after="40"/>
            </w:pPr>
            <w:r>
              <w:rPr>
                <w:sz w:val="18"/>
              </w:rPr>
              <w:t>C</w:t>
            </w:r>
          </w:p>
        </w:tc>
        <w:tc>
          <w:tcPr>
            <w:tcW w:type="dxa" w:w="3331"/>
            <w:vAlign w:val="center"/>
          </w:tcPr>
          <w:p>
            <w:pPr>
              <w:spacing w:after="40"/>
            </w:pPr>
            <w:r>
              <w:rPr>
                <w:sz w:val="18"/>
              </w:rPr>
              <w:t>Two LCDs with geometric pre-warp and minimal spacing</w:t>
            </w:r>
          </w:p>
        </w:tc>
        <w:tc>
          <w:tcPr>
            <w:tcW w:type="dxa" w:w="3331"/>
            <w:vAlign w:val="center"/>
          </w:tcPr>
          <w:p>
            <w:pPr>
              <w:spacing w:after="40"/>
            </w:pPr>
            <w:r>
              <w:rPr>
                <w:sz w:val="18"/>
              </w:rPr>
              <w:t>Research branch if A or B misses the leakage criterion</w:t>
            </w:r>
          </w:p>
        </w:tc>
      </w:tr>
      <w:tr>
        <w:tc>
          <w:tcPr>
            <w:tcW w:type="dxa" w:w="3331"/>
            <w:vAlign w:val="center"/>
            <w:shd w:fill="F5F8F9"/>
          </w:tcPr>
          <w:p>
            <w:pPr>
              <w:spacing w:after="40"/>
            </w:pPr>
            <w:r>
              <w:rPr>
                <w:sz w:val="18"/>
              </w:rPr>
              <w:t>D</w:t>
            </w:r>
          </w:p>
        </w:tc>
        <w:tc>
          <w:tcPr>
            <w:tcW w:type="dxa" w:w="3331"/>
            <w:vAlign w:val="center"/>
            <w:shd w:fill="F5F8F9"/>
          </w:tcPr>
          <w:p>
            <w:pPr>
              <w:spacing w:after="40"/>
            </w:pPr>
            <w:r>
              <w:rPr>
                <w:sz w:val="18"/>
              </w:rPr>
              <w:t>Hybrid opaque field stop plus LCD fine modulation</w:t>
            </w:r>
          </w:p>
        </w:tc>
        <w:tc>
          <w:tcPr>
            <w:tcW w:type="dxa" w:w="3331"/>
            <w:vAlign w:val="center"/>
            <w:shd w:fill="F5F8F9"/>
          </w:tcPr>
          <w:p>
            <w:pPr>
              <w:spacing w:after="40"/>
            </w:pPr>
            <w:r>
              <w:rPr>
                <w:sz w:val="18"/>
              </w:rPr>
              <w:t>Robust compromise: metal or printed mask blocks the impossible regions while the LCD demonstrates dynamic shaping</w:t>
            </w:r>
          </w:p>
        </w:tc>
      </w:tr>
      <w:tr>
        <w:tc>
          <w:tcPr>
            <w:tcW w:type="dxa" w:w="3331"/>
            <w:vAlign w:val="center"/>
          </w:tcPr>
          <w:p>
            <w:pPr>
              <w:spacing w:after="40"/>
            </w:pPr>
            <w:r>
              <w:rPr>
                <w:sz w:val="18"/>
              </w:rPr>
              <w:t>E</w:t>
            </w:r>
          </w:p>
        </w:tc>
        <w:tc>
          <w:tcPr>
            <w:tcW w:type="dxa" w:w="3331"/>
            <w:vAlign w:val="center"/>
          </w:tcPr>
          <w:p>
            <w:pPr>
              <w:spacing w:after="40"/>
            </w:pPr>
            <w:r>
              <w:rPr>
                <w:sz w:val="18"/>
              </w:rPr>
              <w:t>DMD optical engine</w:t>
            </w:r>
          </w:p>
        </w:tc>
        <w:tc>
          <w:tcPr>
            <w:tcW w:type="dxa" w:w="3331"/>
            <w:vAlign w:val="center"/>
          </w:tcPr>
          <w:p>
            <w:pPr>
              <w:spacing w:after="40"/>
            </w:pPr>
            <w:r>
              <w:rPr>
                <w:sz w:val="18"/>
              </w:rPr>
              <w:t>Best digital fallback for high-contrast programmable patterns; higher cost and a different optical layout</w:t>
            </w:r>
          </w:p>
        </w:tc>
      </w:tr>
      <w:tr>
        <w:tc>
          <w:tcPr>
            <w:tcW w:type="dxa" w:w="3331"/>
            <w:vAlign w:val="center"/>
            <w:shd w:fill="F5F8F9"/>
          </w:tcPr>
          <w:p>
            <w:pPr>
              <w:spacing w:after="40"/>
            </w:pPr>
            <w:r>
              <w:rPr>
                <w:sz w:val="18"/>
              </w:rPr>
              <w:t>F</w:t>
            </w:r>
          </w:p>
        </w:tc>
        <w:tc>
          <w:tcPr>
            <w:tcW w:type="dxa" w:w="3331"/>
            <w:vAlign w:val="center"/>
            <w:shd w:fill="F5F8F9"/>
          </w:tcPr>
          <w:p>
            <w:pPr>
              <w:spacing w:after="40"/>
            </w:pPr>
            <w:r>
              <w:rPr>
                <w:sz w:val="18"/>
              </w:rPr>
              <w:t>Mechanical leaf bank or aperture wheel</w:t>
            </w:r>
          </w:p>
        </w:tc>
        <w:tc>
          <w:tcPr>
            <w:tcW w:type="dxa" w:w="3331"/>
            <w:vAlign w:val="center"/>
            <w:shd w:fill="F5F8F9"/>
          </w:tcPr>
          <w:p>
            <w:pPr>
              <w:spacing w:after="40"/>
            </w:pPr>
            <w:r>
              <w:rPr>
                <w:sz w:val="18"/>
              </w:rPr>
              <w:t>Most physically faithful opacity; slower and mechanically more complex</w:t>
            </w:r>
          </w:p>
        </w:tc>
      </w:tr>
    </w:tbl>
    <w:p>
      <w:pPr>
        <w:spacing w:after="0"/>
      </w:pPr>
    </w:p>
    <w:p>
      <w:r>
        <w:t>My recommendation is to design the head so that the LCD cassette can be replaced by a DMD, aperture wheel or miniature leaf cassette without rebuilding the gantry. Treat the optical modulator as a removable research module.</w:t>
      </w:r>
    </w:p>
    <w:p>
      <w:pPr>
        <w:pStyle w:val="Heading2"/>
      </w:pPr>
      <w:r>
        <w:t>Other practical improvements</w:t>
      </w:r>
    </w:p>
    <w:p>
      <w:pPr>
        <w:ind w:left="360" w:hanging="230"/>
      </w:pPr>
      <w:r>
        <w:t>• Use LED gating: switch the source off during gantry motion, LCD refresh and camera readout. This removes transitional leakage and makes the interlock visible to learners.</w:t>
      </w:r>
    </w:p>
    <w:p>
      <w:pPr>
        <w:ind w:left="360" w:hanging="230"/>
      </w:pPr>
      <w:r>
        <w:t>• Add a coarse, opaque, adjustable iris or field stop immediately after the source. It suppresses light that can never belong to the current maximum field.</w:t>
      </w:r>
    </w:p>
    <w:p>
      <w:pPr>
        <w:ind w:left="360" w:hanging="230"/>
      </w:pPr>
      <w:r>
        <w:t>• Use anti-reflection-coated windows only where necessary and tilt non-patterned protective windows slightly so ghost reflections miss the screen.</w:t>
      </w:r>
    </w:p>
    <w:p>
      <w:pPr>
        <w:ind w:left="360" w:hanging="230"/>
      </w:pPr>
      <w:r>
        <w:t>• Add a calibrated photodiode beside the screen. Normalising each segment to measured light output makes accumulated images comparable across time.</w:t>
      </w:r>
    </w:p>
    <w:p>
      <w:pPr>
        <w:ind w:left="360" w:hanging="230"/>
      </w:pPr>
      <w:r>
        <w:t>• Store raw open, closed and dark frames with every experiment. The website can show both the corrected image and the honest uncorrected leakage.</w:t>
      </w:r>
    </w:p>
    <w:p>
      <w:pPr>
        <w:ind w:left="360" w:hanging="230"/>
      </w:pPr>
      <w:r>
        <w:t>• Keep the public-facing demonstrator LED-based. A laser is unnecessary for the LINAC model and creates avoidable speckle and eye-safety concerns.</w:t>
      </w:r>
    </w:p>
    <w:p>
      <w:r>
        <w:br w:type="page"/>
      </w:r>
    </w:p>
    <w:p>
      <w:pPr>
        <w:pStyle w:val="Heading1"/>
      </w:pPr>
      <w:r>
        <w:t>Website publication package</w:t>
      </w:r>
    </w:p>
    <w:p>
      <w:r>
        <w:t>This project turns arc geometry, dynamic collimation, interlocks and accumulated exposure into a visible tabletop experiment. The optical modulator remains a replaceable research module until it passes the bench gates.</w:t>
      </w:r>
    </w:p>
    <w:p>
      <w:pPr>
        <w:pStyle w:val="Heading2"/>
      </w:pPr>
      <w:r>
        <w:t>What visitors will learn</w:t>
      </w:r>
    </w:p>
    <w:p>
      <w:pPr>
        <w:ind w:left="360" w:hanging="230"/>
      </w:pPr>
      <w:r>
        <w:t>• Why a changing aperture can keep following one target as the source rotates.</w:t>
      </w:r>
    </w:p>
    <w:p>
      <w:pPr>
        <w:ind w:left="360" w:hanging="230"/>
      </w:pPr>
      <w:r>
        <w:t>• Why leakage, penumbra, gantry sag, refraction and calibration matter.</w:t>
      </w:r>
    </w:p>
    <w:p>
      <w:pPr>
        <w:ind w:left="360" w:hanging="230"/>
      </w:pPr>
      <w:r>
        <w:t>• How interlocks prevent illumination during an incorrect machine state.</w:t>
      </w:r>
    </w:p>
    <w:p>
      <w:pPr>
        <w:pStyle w:val="Heading2"/>
      </w:pPr>
      <w:r>
        <w:t>Development status and evidence</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c>
          <w:tcPr>
            <w:tcW w:type="dxa" w:w="3331"/>
            <w:shd w:fill="176B87"/>
            <w:vAlign w:val="center"/>
          </w:tcPr>
          <w:p>
            <w:r>
              <w:rPr>
                <w:b/>
                <w:color w:val="FFFFFF"/>
                <w:sz w:val="18"/>
              </w:rPr>
              <w:t>Stage</w:t>
            </w:r>
          </w:p>
        </w:tc>
        <w:tc>
          <w:tcPr>
            <w:tcW w:type="dxa" w:w="3331"/>
            <w:shd w:fill="176B87"/>
            <w:vAlign w:val="center"/>
          </w:tcPr>
          <w:p>
            <w:r>
              <w:rPr>
                <w:b/>
                <w:color w:val="FFFFFF"/>
                <w:sz w:val="18"/>
              </w:rPr>
              <w:t>Work product</w:t>
            </w:r>
          </w:p>
        </w:tc>
        <w:tc>
          <w:tcPr>
            <w:tcW w:type="dxa" w:w="3331"/>
            <w:shd w:fill="176B87"/>
            <w:vAlign w:val="center"/>
          </w:tcPr>
          <w:p>
            <w:r>
              <w:rPr>
                <w:b/>
                <w:color w:val="FFFFFF"/>
                <w:sz w:val="18"/>
              </w:rPr>
              <w:t>Publish when</w:t>
            </w:r>
          </w:p>
        </w:tc>
      </w:tr>
      <w:tr>
        <w:tc>
          <w:tcPr>
            <w:tcW w:type="dxa" w:w="3331"/>
            <w:vAlign w:val="center"/>
          </w:tcPr>
          <w:p>
            <w:pPr>
              <w:spacing w:after="40"/>
            </w:pPr>
            <w:r>
              <w:rPr>
                <w:sz w:val="18"/>
              </w:rPr>
              <w:t>Optical qualification</w:t>
            </w:r>
          </w:p>
        </w:tc>
        <w:tc>
          <w:tcPr>
            <w:tcW w:type="dxa" w:w="3331"/>
            <w:vAlign w:val="center"/>
          </w:tcPr>
          <w:p>
            <w:pPr>
              <w:spacing w:after="40"/>
            </w:pPr>
            <w:r>
              <w:rPr>
                <w:sz w:val="18"/>
              </w:rPr>
              <w:t>Measured comparison of single LCD, wavelength options, filters, two-panel stack and fallback</w:t>
            </w:r>
          </w:p>
        </w:tc>
        <w:tc>
          <w:tcPr>
            <w:tcW w:type="dxa" w:w="3331"/>
            <w:vAlign w:val="center"/>
          </w:tcPr>
          <w:p>
            <w:pPr>
              <w:spacing w:after="40"/>
            </w:pPr>
            <w:r>
              <w:rPr>
                <w:sz w:val="18"/>
              </w:rPr>
              <w:t>One architecture passes the documented optical gates</w:t>
            </w:r>
          </w:p>
        </w:tc>
      </w:tr>
      <w:tr>
        <w:tc>
          <w:tcPr>
            <w:tcW w:type="dxa" w:w="3331"/>
            <w:vAlign w:val="center"/>
            <w:shd w:fill="F5F8F9"/>
          </w:tcPr>
          <w:p>
            <w:pPr>
              <w:spacing w:after="40"/>
            </w:pPr>
            <w:r>
              <w:rPr>
                <w:sz w:val="18"/>
              </w:rPr>
              <w:t>Mechanical integration</w:t>
            </w:r>
          </w:p>
        </w:tc>
        <w:tc>
          <w:tcPr>
            <w:tcW w:type="dxa" w:w="3331"/>
            <w:vAlign w:val="center"/>
            <w:shd w:fill="F5F8F9"/>
          </w:tcPr>
          <w:p>
            <w:pPr>
              <w:spacing w:after="40"/>
            </w:pPr>
            <w:r>
              <w:rPr>
                <w:sz w:val="18"/>
              </w:rPr>
              <w:t>Gantry, couch, portal screen and replaceable head cassette</w:t>
            </w:r>
          </w:p>
        </w:tc>
        <w:tc>
          <w:tcPr>
            <w:tcW w:type="dxa" w:w="3331"/>
            <w:vAlign w:val="center"/>
            <w:shd w:fill="F5F8F9"/>
          </w:tcPr>
          <w:p>
            <w:pPr>
              <w:spacing w:after="40"/>
            </w:pPr>
            <w:r>
              <w:rPr>
                <w:sz w:val="18"/>
              </w:rPr>
              <w:t>Isocentre and clearance tests pass</w:t>
            </w:r>
          </w:p>
        </w:tc>
      </w:tr>
      <w:tr>
        <w:tc>
          <w:tcPr>
            <w:tcW w:type="dxa" w:w="3331"/>
            <w:vAlign w:val="center"/>
          </w:tcPr>
          <w:p>
            <w:pPr>
              <w:spacing w:after="40"/>
            </w:pPr>
            <w:r>
              <w:rPr>
                <w:sz w:val="18"/>
              </w:rPr>
              <w:t>Integrated demonstration</w:t>
            </w:r>
          </w:p>
        </w:tc>
        <w:tc>
          <w:tcPr>
            <w:tcW w:type="dxa" w:w="3331"/>
            <w:vAlign w:val="center"/>
          </w:tcPr>
          <w:p>
            <w:pPr>
              <w:spacing w:after="40"/>
            </w:pPr>
            <w:r>
              <w:rPr>
                <w:sz w:val="18"/>
              </w:rPr>
              <w:t>Step-and-shoot arc and accumulated camera image</w:t>
            </w:r>
          </w:p>
        </w:tc>
        <w:tc>
          <w:tcPr>
            <w:tcW w:type="dxa" w:w="3331"/>
            <w:vAlign w:val="center"/>
          </w:tcPr>
          <w:p>
            <w:pPr>
              <w:spacing w:after="40"/>
            </w:pPr>
            <w:r>
              <w:rPr>
                <w:sz w:val="18"/>
              </w:rPr>
              <w:t>Target emerges reproducibly from a fixed script</w:t>
            </w:r>
          </w:p>
        </w:tc>
      </w:tr>
    </w:tbl>
    <w:p>
      <w:pPr>
        <w:spacing w:after="0"/>
      </w:pPr>
    </w:p>
    <w:p>
      <w:pPr>
        <w:pStyle w:val="Heading2"/>
      </w:pPr>
      <w:r>
        <w:t>Evidence to publish with the project</w:t>
      </w:r>
    </w:p>
    <w:p>
      <w:pPr>
        <w:ind w:left="360" w:hanging="230"/>
      </w:pPr>
      <w:r>
        <w:t>• A versioned bill of materials with purchase date, supplier, measured dimensions and substitutions.</w:t>
      </w:r>
    </w:p>
    <w:p>
      <w:pPr>
        <w:ind w:left="360" w:hanging="230"/>
      </w:pPr>
      <w:r>
        <w:t>• Downloadable CAD, code and configuration files with a licence and changelog.</w:t>
      </w:r>
    </w:p>
    <w:p>
      <w:pPr>
        <w:ind w:left="360" w:hanging="230"/>
      </w:pPr>
      <w:r>
        <w:t>• A complete calibration dataset, acceptance results and at least one failed or superseded design, with the reason for changing it.</w:t>
      </w:r>
    </w:p>
    <w:p>
      <w:pPr>
        <w:ind w:left="360" w:hanging="230"/>
      </w:pPr>
      <w:r>
        <w:t>• A short demonstration video, a labelled system diagram and a plain-language explanation separate from the technical build guide.</w:t>
      </w:r>
    </w:p>
    <w:p>
      <w:pPr>
        <w:ind w:left="360" w:hanging="230"/>
      </w:pPr>
      <w:r>
        <w:t>• A prominent statement that this is an educational model and not a medical device, clinical QA system or dosimetry instrument.</w:t>
      </w:r>
    </w:p>
    <w:sectPr>
      <w:footerReference r:id="rId7" w:type="default"/>
      <w:pgSz w:h="15840" w:w="12240" w:orient="portrait"/>
      <w:pgMar w:bottom="1037" w:top="1037" w:left="1123" w:right="112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nsola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pBdr>
        <w:top w:color="bfbfbf" w:space="6" w:sz="4" w:val="single"/>
      </w:pBdr>
      <w:jc w:val="center"/>
      <w:rPr/>
    </w:pPr>
    <w:r w:rsidDel="00000000" w:rsidR="00000000" w:rsidRPr="00000000">
      <w:rPr>
        <w:color w:val="7f7f7f"/>
        <w:sz w:val="17"/>
        <w:szCs w:val="17"/>
        <w:rtl w:val="0"/>
      </w:rPr>
      <w:t xml:space="preserve">Desktop C-arm LINAC mock-up — build guide    |    </w:t>
    </w:r>
    <w:r w:rsidDel="00000000" w:rsidR="00000000" w:rsidRPr="00000000">
      <w:rPr>
        <w:color w:val="7f7f7f"/>
        <w:sz w:val="17"/>
        <w:szCs w:val="17"/>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0" w:hanging="260"/>
      </w:pPr>
      <w:rPr/>
    </w:lvl>
    <w:lvl w:ilvl="1">
      <w:start w:val="1"/>
      <w:numFmt w:val="lowerLetter"/>
      <w:lvlText w:val="%2."/>
      <w:lvlJc w:val="left"/>
      <w:pPr>
        <w:ind w:left="840" w:hanging="2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420" w:hanging="260"/>
      </w:pPr>
      <w:rPr/>
    </w:lvl>
    <w:lvl w:ilvl="1">
      <w:start w:val="1"/>
      <w:numFmt w:val="lowerLetter"/>
      <w:lvlText w:val="%2."/>
      <w:lvlJc w:val="left"/>
      <w:pPr>
        <w:ind w:left="840" w:hanging="2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420" w:hanging="260"/>
      </w:pPr>
      <w:rPr/>
    </w:lvl>
    <w:lvl w:ilvl="1">
      <w:start w:val="1"/>
      <w:numFmt w:val="lowerLetter"/>
      <w:lvlText w:val="%2."/>
      <w:lvlJc w:val="left"/>
      <w:pPr>
        <w:ind w:left="840" w:hanging="2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420" w:hanging="260"/>
      </w:pPr>
      <w:rPr/>
    </w:lvl>
    <w:lvl w:ilvl="1">
      <w:start w:val="1"/>
      <w:numFmt w:val="lowerLetter"/>
      <w:lvlText w:val="%2."/>
      <w:lvlJc w:val="left"/>
      <w:pPr>
        <w:ind w:left="840" w:hanging="2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420" w:hanging="260"/>
      </w:pPr>
      <w:rPr/>
    </w:lvl>
    <w:lvl w:ilvl="1">
      <w:start w:val="1"/>
      <w:numFmt w:val="lowerLetter"/>
      <w:lvlText w:val="%2."/>
      <w:lvlJc w:val="left"/>
      <w:pPr>
        <w:ind w:left="840" w:hanging="2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420" w:hanging="260"/>
      </w:pPr>
      <w:rPr/>
    </w:lvl>
    <w:lvl w:ilvl="1">
      <w:start w:val="1"/>
      <w:numFmt w:val="bullet"/>
      <w:lvlText w:val="–"/>
      <w:lvlJc w:val="left"/>
      <w:pPr>
        <w:ind w:left="840" w:hanging="2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decimal"/>
      <w:lvlText w:val="%1."/>
      <w:lvlJc w:val="left"/>
      <w:pPr>
        <w:ind w:left="420" w:hanging="260"/>
      </w:pPr>
      <w:rPr/>
    </w:lvl>
    <w:lvl w:ilvl="1">
      <w:start w:val="1"/>
      <w:numFmt w:val="lowerLetter"/>
      <w:lvlText w:val="%2."/>
      <w:lvlJc w:val="left"/>
      <w:pPr>
        <w:ind w:left="840" w:hanging="2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decimal"/>
      <w:lvlText w:val="%1."/>
      <w:lvlJc w:val="left"/>
      <w:pPr>
        <w:ind w:left="420" w:hanging="260"/>
      </w:pPr>
      <w:rPr/>
    </w:lvl>
    <w:lvl w:ilvl="1">
      <w:start w:val="1"/>
      <w:numFmt w:val="lowerLetter"/>
      <w:lvlText w:val="%2."/>
      <w:lvlJc w:val="left"/>
      <w:pPr>
        <w:ind w:left="840" w:hanging="2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decimal"/>
      <w:lvlText w:val="%1."/>
      <w:lvlJc w:val="left"/>
      <w:pPr>
        <w:ind w:left="420" w:hanging="260"/>
      </w:pPr>
      <w:rPr/>
    </w:lvl>
    <w:lvl w:ilvl="1">
      <w:start w:val="1"/>
      <w:numFmt w:val="lowerLetter"/>
      <w:lvlText w:val="%2."/>
      <w:lvlJc w:val="left"/>
      <w:pPr>
        <w:ind w:left="840" w:hanging="2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decimal"/>
      <w:lvlText w:val="%1."/>
      <w:lvlJc w:val="left"/>
      <w:pPr>
        <w:ind w:left="420" w:hanging="260"/>
      </w:pPr>
      <w:rPr/>
    </w:lvl>
    <w:lvl w:ilvl="1">
      <w:start w:val="1"/>
      <w:numFmt w:val="lowerLetter"/>
      <w:lvlText w:val="%2."/>
      <w:lvlJc w:val="left"/>
      <w:pPr>
        <w:ind w:left="840" w:hanging="2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decimal"/>
      <w:lvlText w:val="%1."/>
      <w:lvlJc w:val="left"/>
      <w:pPr>
        <w:ind w:left="420" w:hanging="260"/>
      </w:pPr>
      <w:rPr/>
    </w:lvl>
    <w:lvl w:ilvl="1">
      <w:start w:val="1"/>
      <w:numFmt w:val="lowerLetter"/>
      <w:lvlText w:val="%2."/>
      <w:lvlJc w:val="left"/>
      <w:pPr>
        <w:ind w:left="840" w:hanging="2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a1a1a"/>
        <w:sz w:val="21"/>
        <w:szCs w:val="21"/>
      </w:rPr>
    </w:rPrDefault>
    <w:pPrDefault>
      <w:pPr/>
    </w:pPrDefault>
  </w:docDefaults>
  <w:style w:type="table" w:styleId="TableNormal" w:default="1">
    <w:name w:val="TableNormal"/>
    <w:rPr>
      <w:rFonts w:ascii="Aptos" w:hAnsi="Aptos"/>
    </w:rPr>
    <w:tblPr>
      <w:tblCellMar>
        <w:top w:w="100.0" w:type="dxa"/>
        <w:left w:w="100.0" w:type="dxa"/>
        <w:bottom w:w="100.0" w:type="dxa"/>
        <w:right w:w="100.0" w:type="dxa"/>
      </w:tblCellMar>
    </w:tblPr>
  </w:style>
  <w:style w:type="paragraph" w:styleId="Normal" w:default="1">
    <w:name w:val="normal"/>
    <w:pPr>
      <w:spacing w:after="120" w:line="259" w:lineRule="auto"/>
    </w:pPr>
    <w:rPr>
      <w:rFonts w:ascii="Aptos" w:hAnsi="Aptos"/>
      <w:color w:val="20323A"/>
      <w:sz w:val="21"/>
    </w:rPr>
  </w:style>
  <w:style w:type="paragraph" w:styleId="Heading1">
    <w:name w:val="heading 1"/>
    <w:basedOn w:val="Normal"/>
    <w:next w:val="Normal"/>
    <w:pPr>
      <w:keepNext/>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ptos Display" w:cs="Calibri" w:eastAsia="Calibri" w:hAnsi="Aptos Display"/>
      <w:b/>
      <w:bCs w:val="1"/>
      <w:i w:val="0"/>
      <w:iCs w:val="0"/>
      <w:smallCaps w:val="0"/>
      <w:strike w:val="0"/>
      <w:color w:val="000000"/>
      <w:sz w:val="34"/>
      <w:szCs w:val="30"/>
      <w:u w:val="none"/>
      <w:shd w:fill="auto" w:val="clear"/>
      <w:vertAlign w:val="baseline"/>
    </w:rPr>
  </w:style>
  <w:style w:type="paragraph" w:styleId="Heading2">
    <w:name w:val="heading 2"/>
    <w:basedOn w:val="Normal"/>
    <w:next w:val="Normal"/>
    <w:pPr>
      <w:keepNext/>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ptos Display" w:cs="Calibri" w:eastAsia="Calibri" w:hAnsi="Aptos Display"/>
      <w:b/>
      <w:bCs w:val="1"/>
      <w:i w:val="0"/>
      <w:iCs w:val="0"/>
      <w:smallCaps w:val="0"/>
      <w:strike w:val="0"/>
      <w:color w:val="000000"/>
      <w:sz w:val="26"/>
      <w:szCs w:val="25"/>
      <w:u w:val="none"/>
      <w:shd w:fill="auto" w:val="clear"/>
      <w:vertAlign w:val="baseline"/>
    </w:rPr>
  </w:style>
  <w:style w:type="paragraph" w:styleId="Heading3">
    <w:name w:val="heading 3"/>
    <w:basedOn w:val="Normal"/>
    <w:next w:val="Normal"/>
    <w:pPr>
      <w:keepNext/>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ptos Display" w:cs="Calibri" w:eastAsia="Calibri" w:hAnsi="Aptos Display"/>
      <w:b/>
      <w:bCs w:val="1"/>
      <w:i w:val="0"/>
      <w:iCs w:val="0"/>
      <w:smallCaps w:val="0"/>
      <w:strike w:val="0"/>
      <w:color w:val="000000"/>
      <w:sz w:val="22"/>
      <w:szCs w:val="22"/>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pPr>
    <w:rPr>
      <w:rFonts w:ascii="Aptos Display" w:cs="Calibri" w:eastAsia="Calibri" w:hAnsi="Aptos Display"/>
      <w:b/>
      <w:bCs w:val="0"/>
      <w:i w:val="0"/>
      <w:iCs w:val="0"/>
      <w:smallCaps w:val="0"/>
      <w:strike w:val="0"/>
      <w:color w:val="000000"/>
      <w:sz w:val="50"/>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rFonts w:ascii="Aptos" w:hAnsi="Aptos"/>
    </w:rPr>
    <w:tblPr>
      <w:tblStyleRowBandSize w:val="1"/>
      <w:tblStyleColBandSize w:val="1"/>
      <w:tblCellMar>
        <w:top w:w="0.0" w:type="dxa"/>
        <w:left w:w="115.0" w:type="dxa"/>
        <w:bottom w:w="0.0" w:type="dxa"/>
        <w:right w:w="115.0" w:type="dxa"/>
      </w:tblCellMar>
    </w:tblPr>
  </w:style>
  <w:style w:type="table" w:styleId="Table2">
    <w:basedOn w:val="TableNormal"/>
    <w:rPr>
      <w:rFonts w:ascii="Aptos" w:hAnsi="Aptos"/>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