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Light" w:cs="Calibri Light" w:eastAsia="Calibri Light" w:hAnsi="Calibri Light"/>
          <w:b/>
          <w:bCs/>
          <w:color w:val="1F3864"/>
          <w:sz w:val="44"/>
          <w:szCs w:val="44"/>
        </w:rPr>
        <w:t xml:space="preserve">Robotic arm demonstrator with camera feedback</w:t>
      </w:r>
    </w:p>
    <w:p>
      <w:pPr>
        <w:spacing w:after="120" w:before="60" w:line="280"/>
      </w:pPr>
      <w:r>
        <w:t xml:space="preserve">A benchtop model of robotic radiosurgery: a small 6-axis arm aims a laser pointer, standing in for the treatment beam, at a phantom from many non-coplanar directions. The arm's own precision is far from clinical, so a pair of cameras measures where the beam actually points and the arm is corrected before each "beam on". This document covers the accuracy model, the bench, the calibration, the correction loop, and how to measure whether it worked.</w:t>
      </w:r>
    </w:p>
    <w:p>
      <w:pPr>
        <w:pBdr>
          <w:left w:val="single" w:color="D9A441" w:sz="18" w:space="8"/>
        </w:pBdr>
        <w:shd w:fill="FBF3E4" w:color="auto" w:val="clear"/>
        <w:spacing w:after="200" w:before="120" w:line="280"/>
        <w:ind w:left="170" w:right="170"/>
      </w:pPr>
      <w:r>
        <w:rPr>
          <w:i/>
          <w:iCs/>
        </w:rPr>
        <w:t xml:space="preserve">Teaching and development model, not a medical device. Nothing here transfers to clinical quality assurance. The figures for achievable accuracy are engineering estimates and must be measured on your own build.</w:t>
      </w:r>
    </w:p>
    <w:p>
      <w:pPr>
        <w:pStyle w:val="Heading1"/>
        <w:pBdr>
          <w:bottom w:val="single" w:color="BFBFBF" w:sz="6" w:space="4"/>
        </w:pBdr>
        <w:spacing w:after="120" w:before="320"/>
      </w:pPr>
      <w:r>
        <w:t xml:space="preserve">1. What "accuracy" means here</w:t>
      </w:r>
    </w:p>
    <w:p>
      <w:pPr>
        <w:spacing w:after="120" w:before="60" w:line="280"/>
      </w:pPr>
      <w:r>
        <w:t xml:space="preserve">Two numbers get confused constantly, and the whole project depends on separating them.</w:t>
      </w:r>
    </w:p>
    <w:p>
      <w:pPr>
        <w:pStyle w:val="ListParagraph"/>
        <w:numPr>
          <w:ilvl w:val="0"/>
          <w:numId w:val="2"/>
        </w:numPr>
        <w:spacing w:after="40" w:before="40" w:line="280"/>
      </w:pPr>
      <w:r>
        <w:rPr>
          <w:b/>
          <w:bCs/>
        </w:rPr>
        <w:t xml:space="preserve">Repeatability</w:t>
      </w:r>
      <w:r>
        <w:t xml:space="preserve"> is how consistently the arm returns to a position it has already visited. This is the number vendors quote, for example 0.2 mm.</w:t>
      </w:r>
    </w:p>
    <w:p>
      <w:pPr>
        <w:pStyle w:val="ListParagraph"/>
        <w:numPr>
          <w:ilvl w:val="0"/>
          <w:numId w:val="2"/>
        </w:numPr>
        <w:spacing w:after="40" w:before="40" w:line="280"/>
      </w:pPr>
      <w:r>
        <w:rPr>
          <w:b/>
          <w:bCs/>
        </w:rPr>
        <w:t xml:space="preserve">Absolute accuracy</w:t>
      </w:r>
      <w:r>
        <w:t xml:space="preserve"> is how close the tool gets to a Cartesian coordinate you command. On a low-cost arm it is often three to ten times worse than the repeatability, because the controller uses nominal link lengths and joint zeros rather than the real ones.</w:t>
      </w:r>
    </w:p>
    <w:p>
      <w:pPr>
        <w:spacing w:after="120" w:before="60" w:line="280"/>
      </w:pPr>
      <w:r>
        <w:t xml:space="preserve">Calibration mostly improves absolute accuracy. Only external feedback can beat the repeatability limit, and even then the floor is set by backlash, compliance and the smallest motion the joints can actually make.</w:t>
      </w:r>
    </w:p>
    <w:p>
      <w:pPr>
        <w:spacing w:after="120" w:before="60" w:line="280"/>
      </w:pPr>
      <w:r>
        <w:t xml:space="preserve">For this project a third number matters more than either: the </w:t>
      </w:r>
      <w:r>
        <w:rPr>
          <w:b/>
          <w:bCs/>
        </w:rPr>
        <w:t xml:space="preserve">pointing error at the isocentre</w:t>
      </w:r>
      <w:r>
        <w:t xml:space="preserve">, that is, the distance between where the laser lands and the centre of the phantom, measured over the whole set of beam directions. That is the analogue of the Winston-Lutz test used clinically.</w:t>
      </w:r>
    </w:p>
    <w:p>
      <w:pPr>
        <w:pStyle w:val="Heading2"/>
        <w:spacing w:after="90" w:before="240"/>
      </w:pPr>
      <w:r>
        <w:t xml:space="preserve">Candidate arms</w:t>
      </w:r>
    </w:p>
    <w:tbl>
      <w:tblPr>
        <w:tblW w:type="auto" w:w="100"/>
        <w:tblBorders>
          <w:top w:val="single" w:color="BFBFBF" w:sz="4"/>
          <w:left w:val="single" w:color="BFBFBF" w:sz="4"/>
          <w:bottom w:val="single" w:color="BFBFBF" w:sz="4"/>
          <w:right w:val="single" w:color="BFBFBF" w:sz="4"/>
          <w:insideH w:val="single" w:color="auto" w:sz="4"/>
          <w:insideV w:val="single" w:color="auto" w:sz="4"/>
        </w:tblBorders>
      </w:tblPr>
      <w:tblGrid>
        <w:gridCol w:w="1566"/>
        <w:gridCol w:w="1310"/>
        <w:gridCol w:w="1310"/>
        <w:gridCol w:w="1673"/>
        <w:gridCol w:w="3779"/>
      </w:tblGrid>
      <w:tr>
        <w:trPr>
          <w:tblHeader/>
        </w:trPr>
        <w:tc>
          <w:tcPr>
            <w:tcW w:type="dxa" w:w="1566"/>
            <w:shd w:fill="E7EDF4" w:color="auto" w:val="clear"/>
            <w:tcMar>
              <w:top w:type="dxa" w:w="60"/>
              <w:left w:type="dxa" w:w="110"/>
              <w:bottom w:type="dxa" w:w="60"/>
              <w:right w:type="dxa" w:w="110"/>
            </w:tcMar>
          </w:tcPr>
          <w:p>
            <w:pPr>
              <w:spacing w:after="20" w:before="20"/>
            </w:pPr>
            <w:r>
              <w:rPr>
                <w:b/>
                <w:bCs/>
                <w:color w:val="1F3864"/>
              </w:rPr>
              <w:t xml:space="preserve">Arm</w:t>
            </w:r>
          </w:p>
        </w:tc>
        <w:tc>
          <w:tcPr>
            <w:tcW w:type="dxa" w:w="1310"/>
            <w:shd w:fill="E7EDF4" w:color="auto" w:val="clear"/>
            <w:tcMar>
              <w:top w:type="dxa" w:w="60"/>
              <w:left w:type="dxa" w:w="110"/>
              <w:bottom w:type="dxa" w:w="60"/>
              <w:right w:type="dxa" w:w="110"/>
            </w:tcMar>
          </w:tcPr>
          <w:p>
            <w:pPr>
              <w:spacing w:after="20" w:before="20"/>
            </w:pPr>
            <w:r>
              <w:rPr>
                <w:b/>
                <w:bCs/>
                <w:color w:val="1F3864"/>
              </w:rPr>
              <w:t xml:space="preserve">Axes</w:t>
            </w:r>
          </w:p>
        </w:tc>
        <w:tc>
          <w:tcPr>
            <w:tcW w:type="dxa" w:w="1310"/>
            <w:shd w:fill="E7EDF4" w:color="auto" w:val="clear"/>
            <w:tcMar>
              <w:top w:type="dxa" w:w="60"/>
              <w:left w:type="dxa" w:w="110"/>
              <w:bottom w:type="dxa" w:w="60"/>
              <w:right w:type="dxa" w:w="110"/>
            </w:tcMar>
          </w:tcPr>
          <w:p>
            <w:pPr>
              <w:spacing w:after="20" w:before="20"/>
            </w:pPr>
            <w:r>
              <w:rPr>
                <w:b/>
                <w:bCs/>
                <w:color w:val="1F3864"/>
              </w:rPr>
              <w:t xml:space="preserve">Stated repeatability</w:t>
            </w:r>
          </w:p>
        </w:tc>
        <w:tc>
          <w:tcPr>
            <w:tcW w:type="dxa" w:w="1673"/>
            <w:shd w:fill="E7EDF4" w:color="auto" w:val="clear"/>
            <w:tcMar>
              <w:top w:type="dxa" w:w="60"/>
              <w:left w:type="dxa" w:w="110"/>
              <w:bottom w:type="dxa" w:w="60"/>
              <w:right w:type="dxa" w:w="110"/>
            </w:tcMar>
          </w:tcPr>
          <w:p>
            <w:pPr>
              <w:spacing w:after="20" w:before="20"/>
            </w:pPr>
            <w:r>
              <w:rPr>
                <w:b/>
                <w:bCs/>
                <w:color w:val="1F3864"/>
              </w:rPr>
              <w:t xml:space="preserve">Indicative price</w:t>
            </w:r>
          </w:p>
        </w:tc>
        <w:tc>
          <w:tcPr>
            <w:tcW w:type="dxa" w:w="3779"/>
            <w:shd w:fill="E7EDF4" w:color="auto" w:val="clear"/>
            <w:tcMar>
              <w:top w:type="dxa" w:w="60"/>
              <w:left w:type="dxa" w:w="110"/>
              <w:bottom w:type="dxa" w:w="60"/>
              <w:right w:type="dxa" w:w="110"/>
            </w:tcMar>
          </w:tcPr>
          <w:p>
            <w:pPr>
              <w:spacing w:after="20" w:before="20"/>
            </w:pPr>
            <w:r>
              <w:rPr>
                <w:b/>
                <w:bCs/>
                <w:color w:val="1F3864"/>
              </w:rPr>
              <w:t xml:space="preserve">Notes</w:t>
            </w:r>
          </w:p>
        </w:tc>
      </w:tr>
      <w:tr>
        <w:trPr>
          <w:tblHeader w:val="false"/>
        </w:trPr>
        <w:tc>
          <w:tcPr>
            <w:tcW w:type="dxa" w:w="1566"/>
            <w:tcMar>
              <w:top w:type="dxa" w:w="60"/>
              <w:left w:type="dxa" w:w="110"/>
              <w:bottom w:type="dxa" w:w="60"/>
              <w:right w:type="dxa" w:w="110"/>
            </w:tcMar>
          </w:tcPr>
          <w:p>
            <w:pPr>
              <w:spacing w:after="20" w:before="20"/>
            </w:pPr>
            <w:r>
              <w:t xml:space="preserve">WLKATA Mirobot</w:t>
            </w:r>
          </w:p>
        </w:tc>
        <w:tc>
          <w:tcPr>
            <w:tcW w:type="dxa" w:w="1310"/>
            <w:tcMar>
              <w:top w:type="dxa" w:w="60"/>
              <w:left w:type="dxa" w:w="110"/>
              <w:bottom w:type="dxa" w:w="60"/>
              <w:right w:type="dxa" w:w="110"/>
            </w:tcMar>
          </w:tcPr>
          <w:p>
            <w:pPr>
              <w:spacing w:after="20" w:before="20"/>
            </w:pPr>
            <w:r>
              <w:t xml:space="preserve">6 (+1)</w:t>
            </w:r>
          </w:p>
        </w:tc>
        <w:tc>
          <w:tcPr>
            <w:tcW w:type="dxa" w:w="1310"/>
            <w:tcMar>
              <w:top w:type="dxa" w:w="60"/>
              <w:left w:type="dxa" w:w="110"/>
              <w:bottom w:type="dxa" w:w="60"/>
              <w:right w:type="dxa" w:w="110"/>
            </w:tcMar>
          </w:tcPr>
          <w:p>
            <w:pPr>
              <w:spacing w:after="20" w:before="20"/>
            </w:pPr>
            <w:r>
              <w:t xml:space="preserve">0.2 mm</w:t>
            </w:r>
          </w:p>
        </w:tc>
        <w:tc>
          <w:tcPr>
            <w:tcW w:type="dxa" w:w="1673"/>
            <w:tcMar>
              <w:top w:type="dxa" w:w="60"/>
              <w:left w:type="dxa" w:w="110"/>
              <w:bottom w:type="dxa" w:w="60"/>
              <w:right w:type="dxa" w:w="110"/>
            </w:tcMar>
          </w:tcPr>
          <w:p>
            <w:pPr>
              <w:spacing w:after="20" w:before="20"/>
            </w:pPr>
            <w:r>
              <w:t xml:space="preserve">about €1,540 (Professional Kit)</w:t>
            </w:r>
          </w:p>
        </w:tc>
        <w:tc>
          <w:tcPr>
            <w:tcW w:type="dxa" w:w="3779"/>
            <w:tcMar>
              <w:top w:type="dxa" w:w="60"/>
              <w:left w:type="dxa" w:w="110"/>
              <w:bottom w:type="dxa" w:w="60"/>
              <w:right w:type="dxa" w:w="110"/>
            </w:tcMar>
          </w:tcPr>
          <w:p>
            <w:pPr>
              <w:spacing w:after="20" w:before="20"/>
            </w:pPr>
            <w:r>
              <w:t xml:space="preserve">Cheapest 6-axis at this class. Stepper driven; confirm with the vendor whether the joints have any feedback.</w:t>
            </w:r>
          </w:p>
        </w:tc>
      </w:tr>
      <w:tr>
        <w:trPr>
          <w:tblHeader w:val="false"/>
        </w:trPr>
        <w:tc>
          <w:tcPr>
            <w:tcW w:type="dxa" w:w="1566"/>
            <w:tcMar>
              <w:top w:type="dxa" w:w="60"/>
              <w:left w:type="dxa" w:w="110"/>
              <w:bottom w:type="dxa" w:w="60"/>
              <w:right w:type="dxa" w:w="110"/>
            </w:tcMar>
          </w:tcPr>
          <w:p>
            <w:pPr>
              <w:spacing w:after="20" w:before="20"/>
            </w:pPr>
            <w:r>
              <w:t xml:space="preserve">Elephant Robotics myCobot 280</w:t>
            </w:r>
          </w:p>
        </w:tc>
        <w:tc>
          <w:tcPr>
            <w:tcW w:type="dxa" w:w="1310"/>
            <w:tcMar>
              <w:top w:type="dxa" w:w="60"/>
              <w:left w:type="dxa" w:w="110"/>
              <w:bottom w:type="dxa" w:w="60"/>
              <w:right w:type="dxa" w:w="110"/>
            </w:tcMar>
          </w:tcPr>
          <w:p>
            <w:pPr>
              <w:spacing w:after="20" w:before="20"/>
            </w:pPr>
            <w:r>
              <w:t xml:space="preserve">6</w:t>
            </w:r>
          </w:p>
        </w:tc>
        <w:tc>
          <w:tcPr>
            <w:tcW w:type="dxa" w:w="1310"/>
            <w:tcMar>
              <w:top w:type="dxa" w:w="60"/>
              <w:left w:type="dxa" w:w="110"/>
              <w:bottom w:type="dxa" w:w="60"/>
              <w:right w:type="dxa" w:w="110"/>
            </w:tcMar>
          </w:tcPr>
          <w:p>
            <w:pPr>
              <w:spacing w:after="20" w:before="20"/>
            </w:pPr>
            <w:r>
              <w:t xml:space="preserve">±0.5 mm</w:t>
            </w:r>
          </w:p>
        </w:tc>
        <w:tc>
          <w:tcPr>
            <w:tcW w:type="dxa" w:w="1673"/>
            <w:tcMar>
              <w:top w:type="dxa" w:w="60"/>
              <w:left w:type="dxa" w:w="110"/>
              <w:bottom w:type="dxa" w:w="60"/>
              <w:right w:type="dxa" w:w="110"/>
            </w:tcMar>
          </w:tcPr>
          <w:p>
            <w:pPr>
              <w:spacing w:after="20" w:before="20"/>
            </w:pPr>
            <w:r>
              <w:t xml:space="preserve">from about $499</w:t>
            </w:r>
          </w:p>
        </w:tc>
        <w:tc>
          <w:tcPr>
            <w:tcW w:type="dxa" w:w="3779"/>
            <w:tcMar>
              <w:top w:type="dxa" w:w="60"/>
              <w:left w:type="dxa" w:w="110"/>
              <w:bottom w:type="dxa" w:w="60"/>
              <w:right w:type="dxa" w:w="110"/>
            </w:tcMar>
          </w:tcPr>
          <w:p>
            <w:pPr>
              <w:spacing w:after="20" w:before="20"/>
            </w:pPr>
            <w:r>
              <w:t xml:space="preserve">Cheaper and ROS-friendly, but the coarsest of the three.</w:t>
            </w:r>
          </w:p>
        </w:tc>
      </w:tr>
      <w:tr>
        <w:trPr>
          <w:tblHeader w:val="false"/>
        </w:trPr>
        <w:tc>
          <w:tcPr>
            <w:tcW w:type="dxa" w:w="1566"/>
            <w:tcMar>
              <w:top w:type="dxa" w:w="60"/>
              <w:left w:type="dxa" w:w="110"/>
              <w:bottom w:type="dxa" w:w="60"/>
              <w:right w:type="dxa" w:w="110"/>
            </w:tcMar>
          </w:tcPr>
          <w:p>
            <w:pPr>
              <w:spacing w:after="20" w:before="20"/>
            </w:pPr>
            <w:r>
              <w:t xml:space="preserve">Dobot MG400</w:t>
            </w:r>
          </w:p>
        </w:tc>
        <w:tc>
          <w:tcPr>
            <w:tcW w:type="dxa" w:w="1310"/>
            <w:tcMar>
              <w:top w:type="dxa" w:w="60"/>
              <w:left w:type="dxa" w:w="110"/>
              <w:bottom w:type="dxa" w:w="60"/>
              <w:right w:type="dxa" w:w="110"/>
            </w:tcMar>
          </w:tcPr>
          <w:p>
            <w:pPr>
              <w:spacing w:after="20" w:before="20"/>
            </w:pPr>
            <w:r>
              <w:t xml:space="preserve">4</w:t>
            </w:r>
          </w:p>
        </w:tc>
        <w:tc>
          <w:tcPr>
            <w:tcW w:type="dxa" w:w="1310"/>
            <w:tcMar>
              <w:top w:type="dxa" w:w="60"/>
              <w:left w:type="dxa" w:w="110"/>
              <w:bottom w:type="dxa" w:w="60"/>
              <w:right w:type="dxa" w:w="110"/>
            </w:tcMar>
          </w:tcPr>
          <w:p>
            <w:pPr>
              <w:spacing w:after="20" w:before="20"/>
            </w:pPr>
            <w:r>
              <w:t xml:space="preserve">0.05 mm</w:t>
            </w:r>
          </w:p>
        </w:tc>
        <w:tc>
          <w:tcPr>
            <w:tcW w:type="dxa" w:w="1673"/>
            <w:tcMar>
              <w:top w:type="dxa" w:w="60"/>
              <w:left w:type="dxa" w:w="110"/>
              <w:bottom w:type="dxa" w:w="60"/>
              <w:right w:type="dxa" w:w="110"/>
            </w:tcMar>
          </w:tcPr>
          <w:p>
            <w:pPr>
              <w:spacing w:after="20" w:before="20"/>
            </w:pPr>
            <w:r>
              <w:t xml:space="preserve">about $3,000</w:t>
            </w:r>
          </w:p>
        </w:tc>
        <w:tc>
          <w:tcPr>
            <w:tcW w:type="dxa" w:w="3779"/>
            <w:tcMar>
              <w:top w:type="dxa" w:w="60"/>
              <w:left w:type="dxa" w:w="110"/>
              <w:bottom w:type="dxa" w:w="60"/>
              <w:right w:type="dxa" w:w="110"/>
            </w:tcMar>
          </w:tcPr>
          <w:p>
            <w:pPr>
              <w:spacing w:after="20" w:before="20"/>
            </w:pPr>
            <w:r>
              <w:t xml:space="preserve">Much more precise, but the tool always points down, so non-coplanar geometry has to come from a rotating and tilting phantom stage.</w:t>
            </w:r>
          </w:p>
        </w:tc>
      </w:tr>
    </w:tbl>
    <w:p>
      <w:pPr>
        <w:spacing w:after="160"/>
      </w:pPr>
    </w:p>
    <w:p>
      <w:pPr>
        <w:spacing w:after="120" w:before="60" w:line="280"/>
      </w:pPr>
      <w:r>
        <w:t xml:space="preserve">The camera loop described here suits any of them. The better the mechanics, the fewer iterations it needs.</w:t>
      </w:r>
    </w:p>
    <w:p>
      <w:pPr>
        <w:pStyle w:val="Heading1"/>
        <w:pBdr>
          <w:bottom w:val="single" w:color="BFBFBF" w:sz="6" w:space="4"/>
        </w:pBdr>
        <w:spacing w:after="120" w:before="320"/>
      </w:pPr>
      <w:r>
        <w:t xml:space="preserve">2. Strategy in three layers</w:t>
      </w:r>
    </w:p>
    <w:p>
      <w:pPr>
        <w:spacing w:after="120" w:before="60" w:line="280"/>
      </w:pPr>
      <w:r>
        <w:t xml:space="preserve">Each layer is useful on its own, and they stack. Do them in order, because the later ones are far easier when the earlier ones are in place.</w:t>
      </w:r>
    </w:p>
    <w:p>
      <w:pPr>
        <w:pStyle w:val="ListParagraph"/>
        <w:numPr>
          <w:ilvl w:val="0"/>
          <w:numId w:val="3"/>
        </w:numPr>
        <w:spacing w:after="40" w:before="40" w:line="280"/>
      </w:pPr>
      <w:r>
        <w:rPr>
          <w:b/>
          <w:bCs/>
        </w:rPr>
        <w:t xml:space="preserve">Mechanics and operating practice.</w:t>
      </w:r>
      <w:r>
        <w:t xml:space="preserve"> No calibration survives a wobbly bench. Bolt the arm, the phantom stand and the cameras to one rigid base, such as a granite tile or a thick aluminium plate. Home the arm at the start of every session and let it warm up for fifteen to thirty minutes. Keep the payload far below the rated maximum, avoid fully extended poses, run slowly, and always approach a target from the same direction so gear backlash is taken up the same way.</w:t>
      </w:r>
    </w:p>
    <w:p>
      <w:pPr>
        <w:pStyle w:val="ListParagraph"/>
        <w:numPr>
          <w:ilvl w:val="0"/>
          <w:numId w:val="3"/>
        </w:numPr>
        <w:spacing w:after="40" w:before="40" w:line="280"/>
      </w:pPr>
      <w:r>
        <w:rPr>
          <w:b/>
          <w:bCs/>
        </w:rPr>
        <w:t xml:space="preserve">Static calibration.</w:t>
      </w:r>
      <w:r>
        <w:t xml:space="preserve"> Measure the arm rather than trusting its nominal model, then correct the model. This brings absolute accuracy close to the repeatability limit.</w:t>
      </w:r>
    </w:p>
    <w:p>
      <w:pPr>
        <w:pStyle w:val="ListParagraph"/>
        <w:numPr>
          <w:ilvl w:val="0"/>
          <w:numId w:val="3"/>
        </w:numPr>
        <w:spacing w:after="40" w:before="40" w:line="280"/>
      </w:pPr>
      <w:r>
        <w:rPr>
          <w:b/>
          <w:bCs/>
        </w:rPr>
        <w:t xml:space="preserve">Closed-loop correction.</w:t>
      </w:r>
      <w:r>
        <w:t xml:space="preserve"> Measure the actual pose with cameras, compute the error, command a correction, and repeat until the error is below tolerance. This is what pushes the result below the repeatability limit, and it is conceptually what image guidance does clinically.</w:t>
      </w:r>
    </w:p>
    <w:p>
      <w:pPr>
        <w:keepNext/>
        <w:spacing w:after="60" w:before="160"/>
        <w:jc w:val="center"/>
      </w:pPr>
      <w:r>
        <w:drawing>
          <wp:inline distT="0" distB="0" distL="0" distR="0">
            <wp:extent cx="5715000"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152650"/>
                    </a:xfrm>
                    <a:prstGeom prst="rect">
                      <a:avLst/>
                    </a:prstGeom>
                  </pic:spPr>
                </pic:pic>
              </a:graphicData>
            </a:graphic>
          </wp:inline>
        </w:drawing>
      </w:r>
    </w:p>
    <w:p>
      <w:pPr>
        <w:spacing w:after="200"/>
        <w:jc w:val="center"/>
      </w:pPr>
      <w:r>
        <w:rPr>
          <w:i/>
          <w:iCs/>
          <w:color w:val="595959"/>
          <w:sz w:val="18"/>
          <w:szCs w:val="18"/>
        </w:rPr>
        <w:t xml:space="preserve">Figure 1 — The correction loop. The arm stays open loop internally; the cameras close the loop around it in Cartesian space.</w:t>
      </w:r>
    </w:p>
    <w:p>
      <w:pPr>
        <w:pStyle w:val="Heading1"/>
        <w:pBdr>
          <w:bottom w:val="single" w:color="BFBFBF" w:sz="6" w:space="4"/>
        </w:pBdr>
        <w:spacing w:after="120" w:before="320"/>
      </w:pPr>
      <w:r>
        <w:t xml:space="preserve">3. The bench</w:t>
      </w:r>
    </w:p>
    <w:p>
      <w:pPr>
        <w:keepNext/>
        <w:spacing w:after="60" w:before="160"/>
        <w:jc w:val="center"/>
      </w:pPr>
      <w:r>
        <w:drawing>
          <wp:inline distT="0" distB="0" distL="0" distR="0">
            <wp:extent cx="5715000"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00"/>
        <w:jc w:val="center"/>
      </w:pPr>
      <w:r>
        <w:rPr>
          <w:i/>
          <w:iCs/>
          <w:color w:val="595959"/>
          <w:sz w:val="18"/>
          <w:szCs w:val="18"/>
        </w:rPr>
        <w:t xml:space="preserve">Figure 2 — Bench layout. Both cameras see the marker on the end effector and the laser spot on the phantom.</w:t>
      </w:r>
    </w:p>
    <w:p>
      <w:pPr>
        <w:spacing w:after="120" w:before="60" w:line="280"/>
      </w:pPr>
      <w:r>
        <w:t xml:space="preserve">The phantom is a matte ball, 10 to 20 mm across, on a thin stem, defining the isocentre. The end effector carries a laser pointer and a ChArUco marker board, that is, a chessboard with ArUco codes in the white squares, which gives a more precise pose than a single marker.</w:t>
      </w:r>
    </w:p>
    <w:p>
      <w:pPr>
        <w:spacing w:after="120" w:before="60" w:line="280"/>
      </w:pPr>
      <w:r>
        <w:t xml:space="preserve">Two cameras placed roughly orthogonally give a three-dimensional measurement. They must see both the marker and the laser spot on the phantom, which is what makes the measurement directly meaningful: the spot position is the quantity you care about, and the marker tells you how the tool is oriented.</w:t>
      </w:r>
    </w:p>
    <w:tbl>
      <w:tblPr>
        <w:tblW w:type="auto" w:w="100"/>
        <w:tblBorders>
          <w:top w:val="single" w:color="BFBFBF" w:sz="4"/>
          <w:left w:val="single" w:color="BFBFBF" w:sz="4"/>
          <w:bottom w:val="single" w:color="BFBFBF" w:sz="4"/>
          <w:right w:val="single" w:color="BFBFBF" w:sz="4"/>
          <w:insideH w:val="single" w:color="auto" w:sz="4"/>
          <w:insideV w:val="single" w:color="auto" w:sz="4"/>
        </w:tblBorders>
      </w:tblPr>
      <w:tblGrid>
        <w:gridCol w:w="1377"/>
        <w:gridCol w:w="6883"/>
        <w:gridCol w:w="1378"/>
      </w:tblGrid>
      <w:tr>
        <w:trPr>
          <w:tblHeader/>
        </w:trPr>
        <w:tc>
          <w:tcPr>
            <w:tcW w:type="dxa" w:w="1377"/>
            <w:shd w:fill="E7EDF4" w:color="auto" w:val="clear"/>
            <w:tcMar>
              <w:top w:type="dxa" w:w="60"/>
              <w:left w:type="dxa" w:w="110"/>
              <w:bottom w:type="dxa" w:w="60"/>
              <w:right w:type="dxa" w:w="110"/>
            </w:tcMar>
          </w:tcPr>
          <w:p>
            <w:pPr>
              <w:spacing w:after="20" w:before="20"/>
            </w:pPr>
            <w:r>
              <w:rPr>
                <w:b/>
                <w:bCs/>
                <w:color w:val="1F3864"/>
              </w:rPr>
              <w:t xml:space="preserve">Item</w:t>
            </w:r>
          </w:p>
        </w:tc>
        <w:tc>
          <w:tcPr>
            <w:tcW w:type="dxa" w:w="6883"/>
            <w:shd w:fill="E7EDF4" w:color="auto" w:val="clear"/>
            <w:tcMar>
              <w:top w:type="dxa" w:w="60"/>
              <w:left w:type="dxa" w:w="110"/>
              <w:bottom w:type="dxa" w:w="60"/>
              <w:right w:type="dxa" w:w="110"/>
            </w:tcMar>
          </w:tcPr>
          <w:p>
            <w:pPr>
              <w:spacing w:after="20" w:before="20"/>
            </w:pPr>
            <w:r>
              <w:rPr>
                <w:b/>
                <w:bCs/>
                <w:color w:val="1F3864"/>
              </w:rPr>
              <w:t xml:space="preserve">Suggestion</w:t>
            </w:r>
          </w:p>
        </w:tc>
        <w:tc>
          <w:tcPr>
            <w:tcW w:type="dxa" w:w="1378"/>
            <w:shd w:fill="E7EDF4" w:color="auto" w:val="clear"/>
            <w:tcMar>
              <w:top w:type="dxa" w:w="60"/>
              <w:left w:type="dxa" w:w="110"/>
              <w:bottom w:type="dxa" w:w="60"/>
              <w:right w:type="dxa" w:w="110"/>
            </w:tcMar>
          </w:tcPr>
          <w:p>
            <w:pPr>
              <w:spacing w:after="20" w:before="20"/>
            </w:pPr>
            <w:r>
              <w:rPr>
                <w:b/>
                <w:bCs/>
                <w:color w:val="1F3864"/>
              </w:rPr>
              <w:t xml:space="preserve">Approx. cost</w:t>
            </w:r>
          </w:p>
        </w:tc>
      </w:tr>
      <w:tr>
        <w:trPr>
          <w:tblHeader w:val="false"/>
        </w:trPr>
        <w:tc>
          <w:tcPr>
            <w:tcW w:type="dxa" w:w="1377"/>
            <w:tcMar>
              <w:top w:type="dxa" w:w="60"/>
              <w:left w:type="dxa" w:w="110"/>
              <w:bottom w:type="dxa" w:w="60"/>
              <w:right w:type="dxa" w:w="110"/>
            </w:tcMar>
          </w:tcPr>
          <w:p>
            <w:pPr>
              <w:spacing w:after="20" w:before="20"/>
            </w:pPr>
            <w:r>
              <w:t xml:space="preserve">Cameras</w:t>
            </w:r>
          </w:p>
        </w:tc>
        <w:tc>
          <w:tcPr>
            <w:tcW w:type="dxa" w:w="6883"/>
            <w:tcMar>
              <w:top w:type="dxa" w:w="60"/>
              <w:left w:type="dxa" w:w="110"/>
              <w:bottom w:type="dxa" w:w="60"/>
              <w:right w:type="dxa" w:w="110"/>
            </w:tcMar>
          </w:tcPr>
          <w:p>
            <w:pPr>
              <w:spacing w:after="20" w:before="20"/>
            </w:pPr>
            <w:r>
              <w:t xml:space="preserve">2 × global-shutter USB camera, 1920 × 1200, 1/1.8-inch sensor</w:t>
            </w:r>
          </w:p>
        </w:tc>
        <w:tc>
          <w:tcPr>
            <w:tcW w:type="dxa" w:w="1378"/>
            <w:tcMar>
              <w:top w:type="dxa" w:w="60"/>
              <w:left w:type="dxa" w:w="110"/>
              <w:bottom w:type="dxa" w:w="60"/>
              <w:right w:type="dxa" w:w="110"/>
            </w:tcMar>
          </w:tcPr>
          <w:p>
            <w:pPr>
              <w:spacing w:after="20" w:before="20"/>
            </w:pPr>
            <w:r>
              <w:t xml:space="preserve">€120–300</w:t>
            </w:r>
          </w:p>
        </w:tc>
      </w:tr>
      <w:tr>
        <w:trPr>
          <w:tblHeader w:val="false"/>
        </w:trPr>
        <w:tc>
          <w:tcPr>
            <w:tcW w:type="dxa" w:w="1377"/>
            <w:tcMar>
              <w:top w:type="dxa" w:w="60"/>
              <w:left w:type="dxa" w:w="110"/>
              <w:bottom w:type="dxa" w:w="60"/>
              <w:right w:type="dxa" w:w="110"/>
            </w:tcMar>
          </w:tcPr>
          <w:p>
            <w:pPr>
              <w:spacing w:after="20" w:before="20"/>
            </w:pPr>
            <w:r>
              <w:t xml:space="preserve">Lenses</w:t>
            </w:r>
          </w:p>
        </w:tc>
        <w:tc>
          <w:tcPr>
            <w:tcW w:type="dxa" w:w="6883"/>
            <w:tcMar>
              <w:top w:type="dxa" w:w="60"/>
              <w:left w:type="dxa" w:w="110"/>
              <w:bottom w:type="dxa" w:w="60"/>
              <w:right w:type="dxa" w:w="110"/>
            </w:tcMar>
          </w:tcPr>
          <w:p>
            <w:pPr>
              <w:spacing w:after="20" w:before="20"/>
            </w:pPr>
            <w:r>
              <w:t xml:space="preserve">Fixed focal length chosen for a field of view of 80–120 mm at the working distance (roughly 25–35 mm at 400 mm)</w:t>
            </w:r>
          </w:p>
        </w:tc>
        <w:tc>
          <w:tcPr>
            <w:tcW w:type="dxa" w:w="1378"/>
            <w:tcMar>
              <w:top w:type="dxa" w:w="60"/>
              <w:left w:type="dxa" w:w="110"/>
              <w:bottom w:type="dxa" w:w="60"/>
              <w:right w:type="dxa" w:w="110"/>
            </w:tcMar>
          </w:tcPr>
          <w:p>
            <w:pPr>
              <w:spacing w:after="20" w:before="20"/>
            </w:pPr>
            <w:r>
              <w:t xml:space="preserve">€60–160</w:t>
            </w:r>
          </w:p>
        </w:tc>
      </w:tr>
      <w:tr>
        <w:trPr>
          <w:tblHeader w:val="false"/>
        </w:trPr>
        <w:tc>
          <w:tcPr>
            <w:tcW w:type="dxa" w:w="1377"/>
            <w:tcMar>
              <w:top w:type="dxa" w:w="60"/>
              <w:left w:type="dxa" w:w="110"/>
              <w:bottom w:type="dxa" w:w="60"/>
              <w:right w:type="dxa" w:w="110"/>
            </w:tcMar>
          </w:tcPr>
          <w:p>
            <w:pPr>
              <w:spacing w:after="20" w:before="20"/>
            </w:pPr>
            <w:r>
              <w:t xml:space="preserve">Mounts</w:t>
            </w:r>
          </w:p>
        </w:tc>
        <w:tc>
          <w:tcPr>
            <w:tcW w:type="dxa" w:w="6883"/>
            <w:tcMar>
              <w:top w:type="dxa" w:w="60"/>
              <w:left w:type="dxa" w:w="110"/>
              <w:bottom w:type="dxa" w:w="60"/>
              <w:right w:type="dxa" w:w="110"/>
            </w:tcMar>
          </w:tcPr>
          <w:p>
            <w:pPr>
              <w:spacing w:after="20" w:before="20"/>
            </w:pPr>
            <w:r>
              <w:t xml:space="preserve">Rigid arms or extrusion posts, clamped to the same base as the arm</w:t>
            </w:r>
          </w:p>
        </w:tc>
        <w:tc>
          <w:tcPr>
            <w:tcW w:type="dxa" w:w="1378"/>
            <w:tcMar>
              <w:top w:type="dxa" w:w="60"/>
              <w:left w:type="dxa" w:w="110"/>
              <w:bottom w:type="dxa" w:w="60"/>
              <w:right w:type="dxa" w:w="110"/>
            </w:tcMar>
          </w:tcPr>
          <w:p>
            <w:pPr>
              <w:spacing w:after="20" w:before="20"/>
            </w:pPr>
            <w:r>
              <w:t xml:space="preserve">€40–100</w:t>
            </w:r>
          </w:p>
        </w:tc>
      </w:tr>
      <w:tr>
        <w:trPr>
          <w:tblHeader w:val="false"/>
        </w:trPr>
        <w:tc>
          <w:tcPr>
            <w:tcW w:type="dxa" w:w="1377"/>
            <w:tcMar>
              <w:top w:type="dxa" w:w="60"/>
              <w:left w:type="dxa" w:w="110"/>
              <w:bottom w:type="dxa" w:w="60"/>
              <w:right w:type="dxa" w:w="110"/>
            </w:tcMar>
          </w:tcPr>
          <w:p>
            <w:pPr>
              <w:spacing w:after="20" w:before="20"/>
            </w:pPr>
            <w:r>
              <w:t xml:space="preserve">Phantom</w:t>
            </w:r>
          </w:p>
        </w:tc>
        <w:tc>
          <w:tcPr>
            <w:tcW w:type="dxa" w:w="6883"/>
            <w:tcMar>
              <w:top w:type="dxa" w:w="60"/>
              <w:left w:type="dxa" w:w="110"/>
              <w:bottom w:type="dxa" w:w="60"/>
              <w:right w:type="dxa" w:w="110"/>
            </w:tcMar>
          </w:tcPr>
          <w:p>
            <w:pPr>
              <w:spacing w:after="20" w:before="20"/>
            </w:pPr>
            <w:r>
              <w:t xml:space="preserve">Matte ball on a stem, plus a small translucent target screen for spot tests</w:t>
            </w:r>
          </w:p>
        </w:tc>
        <w:tc>
          <w:tcPr>
            <w:tcW w:type="dxa" w:w="1378"/>
            <w:tcMar>
              <w:top w:type="dxa" w:w="60"/>
              <w:left w:type="dxa" w:w="110"/>
              <w:bottom w:type="dxa" w:w="60"/>
              <w:right w:type="dxa" w:w="110"/>
            </w:tcMar>
          </w:tcPr>
          <w:p>
            <w:pPr>
              <w:spacing w:after="20" w:before="20"/>
            </w:pPr>
            <w:r>
              <w:t xml:space="preserve">€20–50</w:t>
            </w:r>
          </w:p>
        </w:tc>
      </w:tr>
      <w:tr>
        <w:trPr>
          <w:tblHeader w:val="false"/>
        </w:trPr>
        <w:tc>
          <w:tcPr>
            <w:tcW w:type="dxa" w:w="1377"/>
            <w:tcMar>
              <w:top w:type="dxa" w:w="60"/>
              <w:left w:type="dxa" w:w="110"/>
              <w:bottom w:type="dxa" w:w="60"/>
              <w:right w:type="dxa" w:w="110"/>
            </w:tcMar>
          </w:tcPr>
          <w:p>
            <w:pPr>
              <w:spacing w:after="20" w:before="20"/>
            </w:pPr>
            <w:r>
              <w:t xml:space="preserve">Marker</w:t>
            </w:r>
          </w:p>
        </w:tc>
        <w:tc>
          <w:tcPr>
            <w:tcW w:type="dxa" w:w="6883"/>
            <w:tcMar>
              <w:top w:type="dxa" w:w="60"/>
              <w:left w:type="dxa" w:w="110"/>
              <w:bottom w:type="dxa" w:w="60"/>
              <w:right w:type="dxa" w:w="110"/>
            </w:tcMar>
          </w:tcPr>
          <w:p>
            <w:pPr>
              <w:spacing w:after="20" w:before="20"/>
            </w:pPr>
            <w:r>
              <w:t xml:space="preserve">ChArUco board printed on paper and glued to a flat aluminium plate (printed dimensions must be verified with calipers)</w:t>
            </w:r>
          </w:p>
        </w:tc>
        <w:tc>
          <w:tcPr>
            <w:tcW w:type="dxa" w:w="1378"/>
            <w:tcMar>
              <w:top w:type="dxa" w:w="60"/>
              <w:left w:type="dxa" w:w="110"/>
              <w:bottom w:type="dxa" w:w="60"/>
              <w:right w:type="dxa" w:w="110"/>
            </w:tcMar>
          </w:tcPr>
          <w:p>
            <w:pPr>
              <w:spacing w:after="20" w:before="20"/>
            </w:pPr>
            <w:r>
              <w:t xml:space="preserve">€10</w:t>
            </w:r>
          </w:p>
        </w:tc>
      </w:tr>
      <w:tr>
        <w:trPr>
          <w:tblHeader w:val="false"/>
        </w:trPr>
        <w:tc>
          <w:tcPr>
            <w:tcW w:type="dxa" w:w="1377"/>
            <w:tcMar>
              <w:top w:type="dxa" w:w="60"/>
              <w:left w:type="dxa" w:w="110"/>
              <w:bottom w:type="dxa" w:w="60"/>
              <w:right w:type="dxa" w:w="110"/>
            </w:tcMar>
          </w:tcPr>
          <w:p>
            <w:pPr>
              <w:spacing w:after="20" w:before="20"/>
            </w:pPr>
            <w:r>
              <w:t xml:space="preserve">Beam</w:t>
            </w:r>
          </w:p>
        </w:tc>
        <w:tc>
          <w:tcPr>
            <w:tcW w:type="dxa" w:w="6883"/>
            <w:tcMar>
              <w:top w:type="dxa" w:w="60"/>
              <w:left w:type="dxa" w:w="110"/>
              <w:bottom w:type="dxa" w:w="60"/>
              <w:right w:type="dxa" w:w="110"/>
            </w:tcMar>
          </w:tcPr>
          <w:p>
            <w:pPr>
              <w:spacing w:after="20" w:before="20"/>
            </w:pPr>
            <w:r>
              <w:t xml:space="preserve">Class 2 laser module with a stable mount, or a collimated LED</w:t>
            </w:r>
          </w:p>
        </w:tc>
        <w:tc>
          <w:tcPr>
            <w:tcW w:type="dxa" w:w="1378"/>
            <w:tcMar>
              <w:top w:type="dxa" w:w="60"/>
              <w:left w:type="dxa" w:w="110"/>
              <w:bottom w:type="dxa" w:w="60"/>
              <w:right w:type="dxa" w:w="110"/>
            </w:tcMar>
          </w:tcPr>
          <w:p>
            <w:pPr>
              <w:spacing w:after="20" w:before="20"/>
            </w:pPr>
            <w:r>
              <w:t xml:space="preserve">€15–40</w:t>
            </w:r>
          </w:p>
        </w:tc>
      </w:tr>
      <w:tr>
        <w:trPr>
          <w:tblHeader w:val="false"/>
        </w:trPr>
        <w:tc>
          <w:tcPr>
            <w:tcW w:type="dxa" w:w="1377"/>
            <w:tcMar>
              <w:top w:type="dxa" w:w="60"/>
              <w:left w:type="dxa" w:w="110"/>
              <w:bottom w:type="dxa" w:w="60"/>
              <w:right w:type="dxa" w:w="110"/>
            </w:tcMar>
          </w:tcPr>
          <w:p>
            <w:pPr>
              <w:spacing w:after="20" w:before="20"/>
            </w:pPr>
            <w:r>
              <w:t xml:space="preserve">Lighting</w:t>
            </w:r>
          </w:p>
        </w:tc>
        <w:tc>
          <w:tcPr>
            <w:tcW w:type="dxa" w:w="6883"/>
            <w:tcMar>
              <w:top w:type="dxa" w:w="60"/>
              <w:left w:type="dxa" w:w="110"/>
              <w:bottom w:type="dxa" w:w="60"/>
              <w:right w:type="dxa" w:w="110"/>
            </w:tcMar>
          </w:tcPr>
          <w:p>
            <w:pPr>
              <w:spacing w:after="20" w:before="20"/>
            </w:pPr>
            <w:r>
              <w:t xml:space="preserve">Diffuse LED panel, and a dark cloth to suppress reflections</w:t>
            </w:r>
          </w:p>
        </w:tc>
        <w:tc>
          <w:tcPr>
            <w:tcW w:type="dxa" w:w="1378"/>
            <w:tcMar>
              <w:top w:type="dxa" w:w="60"/>
              <w:left w:type="dxa" w:w="110"/>
              <w:bottom w:type="dxa" w:w="60"/>
              <w:right w:type="dxa" w:w="110"/>
            </w:tcMar>
          </w:tcPr>
          <w:p>
            <w:pPr>
              <w:spacing w:after="20" w:before="20"/>
            </w:pPr>
            <w:r>
              <w:t xml:space="preserve">€30–60</w:t>
            </w:r>
          </w:p>
        </w:tc>
      </w:tr>
    </w:tbl>
    <w:p>
      <w:pPr>
        <w:spacing w:after="160"/>
      </w:pPr>
    </w:p>
    <w:p>
      <w:pPr>
        <w:spacing w:after="120" w:before="60" w:line="280"/>
      </w:pPr>
      <w:r>
        <w:t xml:space="preserve">A pixel at 100 mm field of view over 1920 pixels is about 0.05 mm, and a marker or spot centroid is typically good to a tenth of a pixel, so measurement noise is in the range of 0.005 mm. The measurement is not the limiting factor; the arm is.</w:t>
      </w:r>
    </w:p>
    <w:p>
      <w:pPr>
        <w:pStyle w:val="Heading1"/>
        <w:pBdr>
          <w:bottom w:val="single" w:color="BFBFBF" w:sz="6" w:space="4"/>
        </w:pBdr>
        <w:spacing w:after="120" w:before="320"/>
      </w:pPr>
      <w:r>
        <w:t xml:space="preserve">4. Calibration procedure</w:t>
      </w:r>
    </w:p>
    <w:p>
      <w:pPr>
        <w:pStyle w:val="ListParagraph"/>
        <w:numPr>
          <w:ilvl w:val="0"/>
          <w:numId w:val="4"/>
        </w:numPr>
        <w:spacing w:after="40" w:before="40" w:line="280"/>
      </w:pPr>
      <w:r>
        <w:rPr>
          <w:b/>
          <w:bCs/>
        </w:rPr>
        <w:t xml:space="preserve">Camera intrinsics.</w:t>
      </w:r>
      <w:r>
        <w:t xml:space="preserve"> Photograph a ChArUco board in twenty to thirty poses covering the whole field and all orientations, then run the standard OpenCV calibration. Check the reprojection error; above about 0.3 pixels, repeat with better images.</w:t>
      </w:r>
    </w:p>
    <w:p>
      <w:pPr>
        <w:pStyle w:val="ListParagraph"/>
        <w:numPr>
          <w:ilvl w:val="0"/>
          <w:numId w:val="4"/>
        </w:numPr>
        <w:spacing w:after="40" w:before="40" w:line="280"/>
      </w:pPr>
      <w:r>
        <w:rPr>
          <w:b/>
          <w:bCs/>
        </w:rPr>
        <w:t xml:space="preserve">Stereo extrinsics.</w:t>
      </w:r>
      <w:r>
        <w:t xml:space="preserve"> With both cameras seeing the same board, solve for the transform between them. From here, any point seen in both views can be triangulated.</w:t>
      </w:r>
    </w:p>
    <w:p>
      <w:pPr>
        <w:pStyle w:val="ListParagraph"/>
        <w:numPr>
          <w:ilvl w:val="0"/>
          <w:numId w:val="4"/>
        </w:numPr>
        <w:spacing w:after="40" w:before="40" w:line="280"/>
      </w:pPr>
      <w:r>
        <w:rPr>
          <w:b/>
          <w:bCs/>
        </w:rPr>
        <w:t xml:space="preserve">World frame.</w:t>
      </w:r>
      <w:r>
        <w:t xml:space="preserve"> Define the world origin at the phantom centre. The simplest way is to image the ball from both cameras and take the centre of its outline; a sphere is convenient because its silhouette centre is pose-independent.</w:t>
      </w:r>
    </w:p>
    <w:p>
      <w:pPr>
        <w:pStyle w:val="ListParagraph"/>
        <w:numPr>
          <w:ilvl w:val="0"/>
          <w:numId w:val="4"/>
        </w:numPr>
        <w:spacing w:after="40" w:before="40" w:line="280"/>
      </w:pPr>
      <w:r>
        <w:rPr>
          <w:b/>
          <w:bCs/>
        </w:rPr>
        <w:t xml:space="preserve">Hand-eye calibration.</w:t>
      </w:r>
      <w:r>
        <w:t xml:space="preserve"> Move the arm to twenty or more varied poses, recording the commanded joint angles and the measured marker pose each time, then solve the hand-eye problem (OpenCV's </w:t>
      </w:r>
      <w:r>
        <w:rPr>
          <w:rFonts w:ascii="Consolas" w:cs="Consolas" w:eastAsia="Consolas" w:hAnsi="Consolas"/>
          <w:sz w:val="19"/>
          <w:szCs w:val="19"/>
        </w:rPr>
        <w:t xml:space="preserve">calibrateHandEye</w:t>
      </w:r>
      <w:r>
        <w:t xml:space="preserve">). This gives the transform between the end-effector flange and the marker, and between the robot base and the cameras.</w:t>
      </w:r>
    </w:p>
    <w:p>
      <w:pPr>
        <w:pStyle w:val="ListParagraph"/>
        <w:numPr>
          <w:ilvl w:val="0"/>
          <w:numId w:val="4"/>
        </w:numPr>
        <w:spacing w:after="40" w:before="40" w:line="280"/>
      </w:pPr>
      <w:r>
        <w:rPr>
          <w:b/>
          <w:bCs/>
        </w:rPr>
        <w:t xml:space="preserve">Kinematic fit.</w:t>
      </w:r>
      <w:r>
        <w:t xml:space="preserve"> Using the same data, fit corrected Denavit-Hartenberg parameters (link lengths, offsets, joint zeros) by least squares, minimising the difference between predicted and measured marker poses. Expect the joint zero offsets to dominate.</w:t>
      </w:r>
    </w:p>
    <w:p>
      <w:pPr>
        <w:pStyle w:val="ListParagraph"/>
        <w:numPr>
          <w:ilvl w:val="0"/>
          <w:numId w:val="4"/>
        </w:numPr>
        <w:spacing w:after="40" w:before="40" w:line="280"/>
      </w:pPr>
      <w:r>
        <w:rPr>
          <w:b/>
          <w:bCs/>
        </w:rPr>
        <w:t xml:space="preserve">Tool axis.</w:t>
      </w:r>
      <w:r>
        <w:t xml:space="preserve"> The laser axis is not the marker axis. Aim the beam at a screen at two different distances and triangulate the line; store it as the tool vector.</w:t>
      </w:r>
    </w:p>
    <w:p>
      <w:pPr>
        <w:pStyle w:val="ListParagraph"/>
        <w:numPr>
          <w:ilvl w:val="0"/>
          <w:numId w:val="4"/>
        </w:numPr>
        <w:spacing w:after="40" w:before="40" w:line="280"/>
      </w:pPr>
      <w:r>
        <w:rPr>
          <w:b/>
          <w:bCs/>
        </w:rPr>
        <w:t xml:space="preserve">Residual error map.</w:t>
      </w:r>
      <w:r>
        <w:t xml:space="preserve"> Command a grid of poses through the working volume, typically 5 × 5 × 5 points over 50 to 100 mm, record the residual error, and store it as a lookup table with interpolation. Apply it as a feed-forward correction.</w:t>
      </w:r>
    </w:p>
    <w:p>
      <w:pPr>
        <w:spacing w:after="120" w:before="60" w:line="280"/>
      </w:pPr>
      <w:r>
        <w:t xml:space="preserve">Steps 1 to 6 are done once per build; step 7 is worth repeating after any mechanical change.</w:t>
      </w:r>
    </w:p>
    <w:p>
      <w:pPr>
        <w:pStyle w:val="Heading1"/>
        <w:pBdr>
          <w:bottom w:val="single" w:color="BFBFBF" w:sz="6" w:space="4"/>
        </w:pBdr>
        <w:spacing w:after="120" w:before="320"/>
      </w:pPr>
      <w:r>
        <w:t xml:space="preserve">5. The correction loop</w:t>
      </w:r>
    </w:p>
    <w:p>
      <w:pPr>
        <w:spacing w:after="120" w:before="60" w:line="280"/>
      </w:pPr>
      <w:r>
        <w:t xml:space="preserve">After the feed-forward correction, the residual error is measured and removed iteratively. Because the phantom does not move, the loop can be slow and static: move, settle, measure, correct. There is no need for real-time visual servoing.</w:t>
      </w:r>
    </w:p>
    <w:p>
      <w:pPr>
        <w:keepNext/>
        <w:keepLines/>
        <w:shd w:fill="F2F4F7" w:color="auto" w:val="clear"/>
        <w:spacing w:after="0" w:before="120" w:line="250"/>
        <w:ind w:left="170" w:right="170"/>
      </w:pPr>
      <w:r>
        <w:rPr>
          <w:rFonts w:ascii="Consolas" w:cs="Consolas" w:eastAsia="Consolas" w:hAnsi="Consolas"/>
          <w:sz w:val="17"/>
          <w:szCs w:val="17"/>
        </w:rPr>
        <w:t xml:space="preserve">def aim(target_xyz, direction, tol=0.05, gain=0.8, max_iter=4):</w:t>
      </w:r>
    </w:p>
    <w:p>
      <w:pPr>
        <w:keepNext/>
        <w:keepLines/>
        <w:shd w:fill="F2F4F7" w:color="auto" w:val="clear"/>
        <w:spacing w:after="0" w:before="0" w:line="250"/>
        <w:ind w:left="170" w:right="170"/>
      </w:pPr>
      <w:r>
        <w:rPr>
          <w:rFonts w:ascii="Consolas" w:cs="Consolas" w:eastAsia="Consolas" w:hAnsi="Consolas"/>
          <w:sz w:val="17"/>
          <w:szCs w:val="17"/>
        </w:rPr>
        <w:t xml:space="preserve">    """Point the beam at target_xyz from a given direction, to tol (mm)."""</w:t>
      </w:r>
    </w:p>
    <w:p>
      <w:pPr>
        <w:keepNext/>
        <w:keepLines/>
        <w:shd w:fill="F2F4F7" w:color="auto" w:val="clear"/>
        <w:spacing w:after="0" w:before="0" w:line="250"/>
        <w:ind w:left="170" w:right="170"/>
      </w:pPr>
      <w:r>
        <w:rPr>
          <w:rFonts w:ascii="Consolas" w:cs="Consolas" w:eastAsia="Consolas" w:hAnsi="Consolas"/>
          <w:sz w:val="17"/>
          <w:szCs w:val="17"/>
        </w:rPr>
        <w:t xml:space="preserve">    pose = plan_pose(target_xyz, direction)      # tool pose from the plan</w:t>
      </w:r>
    </w:p>
    <w:p>
      <w:pPr>
        <w:keepNext/>
        <w:keepLines/>
        <w:shd w:fill="F2F4F7" w:color="auto" w:val="clear"/>
        <w:spacing w:after="0" w:before="0" w:line="250"/>
        <w:ind w:left="170" w:right="170"/>
      </w:pPr>
      <w:r>
        <w:rPr>
          <w:rFonts w:ascii="Consolas" w:cs="Consolas" w:eastAsia="Consolas" w:hAnsi="Consolas"/>
          <w:sz w:val="17"/>
          <w:szCs w:val="17"/>
        </w:rPr>
        <w:t xml:space="preserve">    pose = apply_error_map(pose)                 # feed-forward correction</w:t>
      </w:r>
    </w:p>
    <w:p>
      <w:pPr>
        <w:keepNext/>
        <w:keepLines/>
        <w:shd w:fill="F2F4F7" w:color="auto" w:val="clear"/>
        <w:spacing w:after="0" w:before="0" w:line="250"/>
        <w:ind w:left="170" w:right="170"/>
      </w:pPr>
      <w:r>
        <w:rPr>
          <w:rFonts w:ascii="Consolas" w:cs="Consolas" w:eastAsia="Consolas" w:hAnsi="Consolas"/>
          <w:sz w:val="17"/>
          <w:szCs w:val="17"/>
        </w:rPr>
        <w:t xml:space="preserve">    for i in range(max_iter):</w:t>
      </w:r>
    </w:p>
    <w:p>
      <w:pPr>
        <w:keepNext/>
        <w:keepLines/>
        <w:shd w:fill="F2F4F7" w:color="auto" w:val="clear"/>
        <w:spacing w:after="0" w:before="0" w:line="250"/>
        <w:ind w:left="170" w:right="170"/>
      </w:pPr>
      <w:r>
        <w:rPr>
          <w:rFonts w:ascii="Consolas" w:cs="Consolas" w:eastAsia="Consolas" w:hAnsi="Consolas"/>
          <w:sz w:val="17"/>
          <w:szCs w:val="17"/>
        </w:rPr>
        <w:t xml:space="preserve">        move_and_settle(pose)                    # command, then wait for damping</w:t>
      </w:r>
    </w:p>
    <w:p>
      <w:pPr>
        <w:keepNext/>
        <w:keepLines/>
        <w:shd w:fill="F2F4F7" w:color="auto" w:val="clear"/>
        <w:spacing w:after="0" w:before="0" w:line="250"/>
        <w:ind w:left="170" w:right="170"/>
      </w:pPr>
      <w:r>
        <w:rPr>
          <w:rFonts w:ascii="Consolas" w:cs="Consolas" w:eastAsia="Consolas" w:hAnsi="Consolas"/>
          <w:sz w:val="17"/>
          <w:szCs w:val="17"/>
        </w:rPr>
        <w:t xml:space="preserve">        spot = measure_spot()                    # triangulated laser spot (mm)</w:t>
      </w:r>
    </w:p>
    <w:p>
      <w:pPr>
        <w:keepNext/>
        <w:keepLines/>
        <w:shd w:fill="F2F4F7" w:color="auto" w:val="clear"/>
        <w:spacing w:after="0" w:before="0" w:line="250"/>
        <w:ind w:left="170" w:right="170"/>
      </w:pPr>
      <w:r>
        <w:rPr>
          <w:rFonts w:ascii="Consolas" w:cs="Consolas" w:eastAsia="Consolas" w:hAnsi="Consolas"/>
          <w:sz w:val="17"/>
          <w:szCs w:val="17"/>
        </w:rPr>
        <w:t xml:space="preserve">        err = spot - target_xyz                  # Cartesian error vector</w:t>
      </w:r>
    </w:p>
    <w:p>
      <w:pPr>
        <w:keepNext/>
        <w:keepLines/>
        <w:shd w:fill="F2F4F7" w:color="auto" w:val="clear"/>
        <w:spacing w:after="0" w:before="0" w:line="250"/>
        <w:ind w:left="170" w:right="170"/>
      </w:pPr>
      <w:r>
        <w:rPr>
          <w:rFonts w:ascii="Consolas" w:cs="Consolas" w:eastAsia="Consolas" w:hAnsi="Consolas"/>
          <w:sz w:val="17"/>
          <w:szCs w:val="17"/>
        </w:rPr>
        <w:t xml:space="preserve">        if norm(err) &lt; tol:</w:t>
      </w:r>
    </w:p>
    <w:p>
      <w:pPr>
        <w:keepNext/>
        <w:keepLines/>
        <w:shd w:fill="F2F4F7" w:color="auto" w:val="clear"/>
        <w:spacing w:after="0" w:before="0" w:line="250"/>
        <w:ind w:left="170" w:right="170"/>
      </w:pPr>
      <w:r>
        <w:rPr>
          <w:rFonts w:ascii="Consolas" w:cs="Consolas" w:eastAsia="Consolas" w:hAnsi="Consolas"/>
          <w:sz w:val="17"/>
          <w:szCs w:val="17"/>
        </w:rPr>
        <w:t xml:space="preserve">            return True, norm(err), i            # within tolerance: beam on</w:t>
      </w:r>
    </w:p>
    <w:p>
      <w:pPr>
        <w:keepNext/>
        <w:keepLines/>
        <w:shd w:fill="F2F4F7" w:color="auto" w:val="clear"/>
        <w:spacing w:after="0" w:before="0" w:line="250"/>
        <w:ind w:left="170" w:right="170"/>
      </w:pPr>
      <w:r>
        <w:rPr>
          <w:rFonts w:ascii="Consolas" w:cs="Consolas" w:eastAsia="Consolas" w:hAnsi="Consolas"/>
          <w:sz w:val="17"/>
          <w:szCs w:val="17"/>
        </w:rPr>
        <w:t xml:space="preserve">        pose = translate_tool(pose, -gain * err) # correct in tool coordinates</w:t>
      </w:r>
    </w:p>
    <w:p>
      <w:pPr>
        <w:keepNext w:val="false"/>
        <w:keepLines/>
        <w:shd w:fill="F2F4F7" w:color="auto" w:val="clear"/>
        <w:spacing w:after="140" w:before="0" w:line="250"/>
        <w:ind w:left="170" w:right="170"/>
      </w:pPr>
      <w:r>
        <w:rPr>
          <w:rFonts w:ascii="Consolas" w:cs="Consolas" w:eastAsia="Consolas" w:hAnsi="Consolas"/>
          <w:sz w:val="17"/>
          <w:szCs w:val="17"/>
        </w:rPr>
        <w:t xml:space="preserve">    return False, norm(err), max_iter            # do not fire; log and stop</w:t>
      </w:r>
    </w:p>
    <w:p>
      <w:pPr>
        <w:spacing w:after="120" w:before="60" w:line="280"/>
      </w:pPr>
      <w:r>
        <w:t xml:space="preserve">Four practical points:</w:t>
      </w:r>
    </w:p>
    <w:p>
      <w:pPr>
        <w:pStyle w:val="ListParagraph"/>
        <w:numPr>
          <w:ilvl w:val="0"/>
          <w:numId w:val="2"/>
        </w:numPr>
        <w:spacing w:after="40" w:before="40" w:line="280"/>
      </w:pPr>
      <w:r>
        <w:rPr>
          <w:b/>
          <w:bCs/>
        </w:rPr>
        <w:t xml:space="preserve">Settling time matters.</w:t>
      </w:r>
      <w:r>
        <w:t xml:space="preserve"> Command the move, wait for the structure to stop vibrating (typically 0.3 to 1 second on a small arm), and only then measure.</w:t>
      </w:r>
    </w:p>
    <w:p>
      <w:pPr>
        <w:pStyle w:val="ListParagraph"/>
        <w:numPr>
          <w:ilvl w:val="0"/>
          <w:numId w:val="2"/>
        </w:numPr>
        <w:spacing w:after="40" w:before="40" w:line="280"/>
      </w:pPr>
      <w:r>
        <w:rPr>
          <w:b/>
          <w:bCs/>
        </w:rPr>
        <w:t xml:space="preserve">A gain below one avoids oscillation.</w:t>
      </w:r>
      <w:r>
        <w:t xml:space="preserve"> With 0.8, two or three iterations are usually enough.</w:t>
      </w:r>
    </w:p>
    <w:p>
      <w:pPr>
        <w:pStyle w:val="ListParagraph"/>
        <w:numPr>
          <w:ilvl w:val="0"/>
          <w:numId w:val="2"/>
        </w:numPr>
        <w:spacing w:after="40" w:before="40" w:line="280"/>
      </w:pPr>
      <w:r>
        <w:rPr>
          <w:b/>
          <w:bCs/>
        </w:rPr>
        <w:t xml:space="preserve">Always approach from the same side.</w:t>
      </w:r>
      <w:r>
        <w:t xml:space="preserve"> If the correction reverses direction, backlash is taken up differently and the loop converges more slowly. Overshooting deliberately and coming back from a fixed side is a reliable trick.</w:t>
      </w:r>
    </w:p>
    <w:p>
      <w:pPr>
        <w:pStyle w:val="ListParagraph"/>
        <w:numPr>
          <w:ilvl w:val="0"/>
          <w:numId w:val="2"/>
        </w:numPr>
        <w:spacing w:after="40" w:before="40" w:line="280"/>
      </w:pPr>
      <w:r>
        <w:rPr>
          <w:b/>
          <w:bCs/>
        </w:rPr>
        <w:t xml:space="preserve">Failure must be explicit.</w:t>
      </w:r>
      <w:r>
        <w:t xml:space="preserve"> If the loop does not converge, do not fire the beam: log the pose and the error. That is the interlock behaviour a real system has.</w:t>
      </w:r>
    </w:p>
    <w:p>
      <w:pPr>
        <w:pStyle w:val="Heading1"/>
        <w:pBdr>
          <w:bottom w:val="single" w:color="BFBFBF" w:sz="6" w:space="4"/>
        </w:pBdr>
        <w:spacing w:after="120" w:before="320"/>
      </w:pPr>
      <w:r>
        <w:t xml:space="preserve">6. Error budget</w:t>
      </w:r>
    </w:p>
    <w:p>
      <w:pPr>
        <w:spacing w:after="120" w:before="60" w:line="280"/>
      </w:pPr>
      <w:r>
        <w:t xml:space="preserve">The magnitudes below are estimates for a low-cost 6-axis arm on a rigid bench; measure your own.</w:t>
      </w:r>
    </w:p>
    <w:tbl>
      <w:tblPr>
        <w:tblW w:type="auto" w:w="100"/>
        <w:tblBorders>
          <w:top w:val="single" w:color="BFBFBF" w:sz="4"/>
          <w:left w:val="single" w:color="BFBFBF" w:sz="4"/>
          <w:bottom w:val="single" w:color="BFBFBF" w:sz="4"/>
          <w:right w:val="single" w:color="BFBFBF" w:sz="4"/>
          <w:insideH w:val="single" w:color="auto" w:sz="4"/>
          <w:insideV w:val="single" w:color="auto" w:sz="4"/>
        </w:tblBorders>
      </w:tblPr>
      <w:tblGrid>
        <w:gridCol w:w="2977"/>
        <w:gridCol w:w="1437"/>
        <w:gridCol w:w="3706"/>
        <w:gridCol w:w="1518"/>
      </w:tblGrid>
      <w:tr>
        <w:trPr>
          <w:tblHeader/>
        </w:trPr>
        <w:tc>
          <w:tcPr>
            <w:tcW w:type="dxa" w:w="2977"/>
            <w:shd w:fill="E7EDF4" w:color="auto" w:val="clear"/>
            <w:tcMar>
              <w:top w:type="dxa" w:w="60"/>
              <w:left w:type="dxa" w:w="110"/>
              <w:bottom w:type="dxa" w:w="60"/>
              <w:right w:type="dxa" w:w="110"/>
            </w:tcMar>
          </w:tcPr>
          <w:p>
            <w:pPr>
              <w:spacing w:after="20" w:before="20"/>
            </w:pPr>
            <w:r>
              <w:rPr>
                <w:b/>
                <w:bCs/>
                <w:color w:val="1F3864"/>
              </w:rPr>
              <w:t xml:space="preserve">Source</w:t>
            </w:r>
          </w:p>
        </w:tc>
        <w:tc>
          <w:tcPr>
            <w:tcW w:type="dxa" w:w="1437"/>
            <w:shd w:fill="E7EDF4" w:color="auto" w:val="clear"/>
            <w:tcMar>
              <w:top w:type="dxa" w:w="60"/>
              <w:left w:type="dxa" w:w="110"/>
              <w:bottom w:type="dxa" w:w="60"/>
              <w:right w:type="dxa" w:w="110"/>
            </w:tcMar>
          </w:tcPr>
          <w:p>
            <w:pPr>
              <w:spacing w:after="20" w:before="20"/>
            </w:pPr>
            <w:r>
              <w:rPr>
                <w:b/>
                <w:bCs/>
                <w:color w:val="1F3864"/>
              </w:rPr>
              <w:t xml:space="preserve">Typical magnitude</w:t>
            </w:r>
          </w:p>
        </w:tc>
        <w:tc>
          <w:tcPr>
            <w:tcW w:type="dxa" w:w="3706"/>
            <w:shd w:fill="E7EDF4" w:color="auto" w:val="clear"/>
            <w:tcMar>
              <w:top w:type="dxa" w:w="60"/>
              <w:left w:type="dxa" w:w="110"/>
              <w:bottom w:type="dxa" w:w="60"/>
              <w:right w:type="dxa" w:w="110"/>
            </w:tcMar>
          </w:tcPr>
          <w:p>
            <w:pPr>
              <w:spacing w:after="20" w:before="20"/>
            </w:pPr>
            <w:r>
              <w:rPr>
                <w:b/>
                <w:bCs/>
                <w:color w:val="1F3864"/>
              </w:rPr>
              <w:t xml:space="preserve">Mitigation</w:t>
            </w:r>
          </w:p>
        </w:tc>
        <w:tc>
          <w:tcPr>
            <w:tcW w:type="dxa" w:w="1518"/>
            <w:shd w:fill="E7EDF4" w:color="auto" w:val="clear"/>
            <w:tcMar>
              <w:top w:type="dxa" w:w="60"/>
              <w:left w:type="dxa" w:w="110"/>
              <w:bottom w:type="dxa" w:w="60"/>
              <w:right w:type="dxa" w:w="110"/>
            </w:tcMar>
          </w:tcPr>
          <w:p>
            <w:pPr>
              <w:spacing w:after="20" w:before="20"/>
            </w:pPr>
            <w:r>
              <w:rPr>
                <w:b/>
                <w:bCs/>
                <w:color w:val="1F3864"/>
              </w:rPr>
              <w:t xml:space="preserve">Residual after mitigation</w:t>
            </w:r>
          </w:p>
        </w:tc>
      </w:tr>
      <w:tr>
        <w:trPr>
          <w:tblHeader w:val="false"/>
        </w:trPr>
        <w:tc>
          <w:tcPr>
            <w:tcW w:type="dxa" w:w="2977"/>
            <w:tcMar>
              <w:top w:type="dxa" w:w="60"/>
              <w:left w:type="dxa" w:w="110"/>
              <w:bottom w:type="dxa" w:w="60"/>
              <w:right w:type="dxa" w:w="110"/>
            </w:tcMar>
          </w:tcPr>
          <w:p>
            <w:pPr>
              <w:spacing w:after="20" w:before="20"/>
            </w:pPr>
            <w:r>
              <w:t xml:space="preserve">Kinematic model error (joint zeros, link lengths)</w:t>
            </w:r>
          </w:p>
        </w:tc>
        <w:tc>
          <w:tcPr>
            <w:tcW w:type="dxa" w:w="1437"/>
            <w:tcMar>
              <w:top w:type="dxa" w:w="60"/>
              <w:left w:type="dxa" w:w="110"/>
              <w:bottom w:type="dxa" w:w="60"/>
              <w:right w:type="dxa" w:w="110"/>
            </w:tcMar>
          </w:tcPr>
          <w:p>
            <w:pPr>
              <w:spacing w:after="20" w:before="20"/>
            </w:pPr>
            <w:r>
              <w:t xml:space="preserve">0.5–2 mm</w:t>
            </w:r>
          </w:p>
        </w:tc>
        <w:tc>
          <w:tcPr>
            <w:tcW w:type="dxa" w:w="3706"/>
            <w:tcMar>
              <w:top w:type="dxa" w:w="60"/>
              <w:left w:type="dxa" w:w="110"/>
              <w:bottom w:type="dxa" w:w="60"/>
              <w:right w:type="dxa" w:w="110"/>
            </w:tcMar>
          </w:tcPr>
          <w:p>
            <w:pPr>
              <w:spacing w:after="20" w:before="20"/>
            </w:pPr>
            <w:r>
              <w:t xml:space="preserve">Kinematic fit (step 5)</w:t>
            </w:r>
          </w:p>
        </w:tc>
        <w:tc>
          <w:tcPr>
            <w:tcW w:type="dxa" w:w="1518"/>
            <w:tcMar>
              <w:top w:type="dxa" w:w="60"/>
              <w:left w:type="dxa" w:w="110"/>
              <w:bottom w:type="dxa" w:w="60"/>
              <w:right w:type="dxa" w:w="110"/>
            </w:tcMar>
          </w:tcPr>
          <w:p>
            <w:pPr>
              <w:spacing w:after="20" w:before="20"/>
            </w:pPr>
            <w:r>
              <w:t xml:space="preserve">0.1–0.3 mm</w:t>
            </w:r>
          </w:p>
        </w:tc>
      </w:tr>
      <w:tr>
        <w:trPr>
          <w:tblHeader w:val="false"/>
        </w:trPr>
        <w:tc>
          <w:tcPr>
            <w:tcW w:type="dxa" w:w="2977"/>
            <w:tcMar>
              <w:top w:type="dxa" w:w="60"/>
              <w:left w:type="dxa" w:w="110"/>
              <w:bottom w:type="dxa" w:w="60"/>
              <w:right w:type="dxa" w:w="110"/>
            </w:tcMar>
          </w:tcPr>
          <w:p>
            <w:pPr>
              <w:spacing w:after="20" w:before="20"/>
            </w:pPr>
            <w:r>
              <w:t xml:space="preserve">Gear backlash</w:t>
            </w:r>
          </w:p>
        </w:tc>
        <w:tc>
          <w:tcPr>
            <w:tcW w:type="dxa" w:w="1437"/>
            <w:tcMar>
              <w:top w:type="dxa" w:w="60"/>
              <w:left w:type="dxa" w:w="110"/>
              <w:bottom w:type="dxa" w:w="60"/>
              <w:right w:type="dxa" w:w="110"/>
            </w:tcMar>
          </w:tcPr>
          <w:p>
            <w:pPr>
              <w:spacing w:after="20" w:before="20"/>
            </w:pPr>
            <w:r>
              <w:t xml:space="preserve">0.05–0.3 mm</w:t>
            </w:r>
          </w:p>
        </w:tc>
        <w:tc>
          <w:tcPr>
            <w:tcW w:type="dxa" w:w="3706"/>
            <w:tcMar>
              <w:top w:type="dxa" w:w="60"/>
              <w:left w:type="dxa" w:w="110"/>
              <w:bottom w:type="dxa" w:w="60"/>
              <w:right w:type="dxa" w:w="110"/>
            </w:tcMar>
          </w:tcPr>
          <w:p>
            <w:pPr>
              <w:spacing w:after="20" w:before="20"/>
            </w:pPr>
            <w:r>
              <w:t xml:space="preserve">Fixed approach direction; closed loop</w:t>
            </w:r>
          </w:p>
        </w:tc>
        <w:tc>
          <w:tcPr>
            <w:tcW w:type="dxa" w:w="1518"/>
            <w:tcMar>
              <w:top w:type="dxa" w:w="60"/>
              <w:left w:type="dxa" w:w="110"/>
              <w:bottom w:type="dxa" w:w="60"/>
              <w:right w:type="dxa" w:w="110"/>
            </w:tcMar>
          </w:tcPr>
          <w:p>
            <w:pPr>
              <w:spacing w:after="20" w:before="20"/>
            </w:pPr>
            <w:r>
              <w:t xml:space="preserve">0.02–0.1 mm</w:t>
            </w:r>
          </w:p>
        </w:tc>
      </w:tr>
      <w:tr>
        <w:trPr>
          <w:tblHeader w:val="false"/>
        </w:trPr>
        <w:tc>
          <w:tcPr>
            <w:tcW w:type="dxa" w:w="2977"/>
            <w:tcMar>
              <w:top w:type="dxa" w:w="60"/>
              <w:left w:type="dxa" w:w="110"/>
              <w:bottom w:type="dxa" w:w="60"/>
              <w:right w:type="dxa" w:w="110"/>
            </w:tcMar>
          </w:tcPr>
          <w:p>
            <w:pPr>
              <w:spacing w:after="20" w:before="20"/>
            </w:pPr>
            <w:r>
              <w:t xml:space="preserve">Structural compliance and payload sag</w:t>
            </w:r>
          </w:p>
        </w:tc>
        <w:tc>
          <w:tcPr>
            <w:tcW w:type="dxa" w:w="1437"/>
            <w:tcMar>
              <w:top w:type="dxa" w:w="60"/>
              <w:left w:type="dxa" w:w="110"/>
              <w:bottom w:type="dxa" w:w="60"/>
              <w:right w:type="dxa" w:w="110"/>
            </w:tcMar>
          </w:tcPr>
          <w:p>
            <w:pPr>
              <w:spacing w:after="20" w:before="20"/>
            </w:pPr>
            <w:r>
              <w:t xml:space="preserve">0.05–0.2 mm</w:t>
            </w:r>
          </w:p>
        </w:tc>
        <w:tc>
          <w:tcPr>
            <w:tcW w:type="dxa" w:w="3706"/>
            <w:tcMar>
              <w:top w:type="dxa" w:w="60"/>
              <w:left w:type="dxa" w:w="110"/>
              <w:bottom w:type="dxa" w:w="60"/>
              <w:right w:type="dxa" w:w="110"/>
            </w:tcMar>
          </w:tcPr>
          <w:p>
            <w:pPr>
              <w:spacing w:after="20" w:before="20"/>
            </w:pPr>
            <w:r>
              <w:t xml:space="preserve">Light tool, avoid extended poses</w:t>
            </w:r>
          </w:p>
        </w:tc>
        <w:tc>
          <w:tcPr>
            <w:tcW w:type="dxa" w:w="1518"/>
            <w:tcMar>
              <w:top w:type="dxa" w:w="60"/>
              <w:left w:type="dxa" w:w="110"/>
              <w:bottom w:type="dxa" w:w="60"/>
              <w:right w:type="dxa" w:w="110"/>
            </w:tcMar>
          </w:tcPr>
          <w:p>
            <w:pPr>
              <w:spacing w:after="20" w:before="20"/>
            </w:pPr>
            <w:r>
              <w:t xml:space="preserve">included in the error map</w:t>
            </w:r>
          </w:p>
        </w:tc>
      </w:tr>
      <w:tr>
        <w:trPr>
          <w:tblHeader w:val="false"/>
        </w:trPr>
        <w:tc>
          <w:tcPr>
            <w:tcW w:type="dxa" w:w="2977"/>
            <w:tcMar>
              <w:top w:type="dxa" w:w="60"/>
              <w:left w:type="dxa" w:w="110"/>
              <w:bottom w:type="dxa" w:w="60"/>
              <w:right w:type="dxa" w:w="110"/>
            </w:tcMar>
          </w:tcPr>
          <w:p>
            <w:pPr>
              <w:spacing w:after="20" w:before="20"/>
            </w:pPr>
            <w:r>
              <w:t xml:space="preserve">Thermal drift over an hour</w:t>
            </w:r>
          </w:p>
        </w:tc>
        <w:tc>
          <w:tcPr>
            <w:tcW w:type="dxa" w:w="1437"/>
            <w:tcMar>
              <w:top w:type="dxa" w:w="60"/>
              <w:left w:type="dxa" w:w="110"/>
              <w:bottom w:type="dxa" w:w="60"/>
              <w:right w:type="dxa" w:w="110"/>
            </w:tcMar>
          </w:tcPr>
          <w:p>
            <w:pPr>
              <w:spacing w:after="20" w:before="20"/>
            </w:pPr>
            <w:r>
              <w:t xml:space="preserve">0.05–0.2 mm</w:t>
            </w:r>
          </w:p>
        </w:tc>
        <w:tc>
          <w:tcPr>
            <w:tcW w:type="dxa" w:w="3706"/>
            <w:tcMar>
              <w:top w:type="dxa" w:w="60"/>
              <w:left w:type="dxa" w:w="110"/>
              <w:bottom w:type="dxa" w:w="60"/>
              <w:right w:type="dxa" w:w="110"/>
            </w:tcMar>
          </w:tcPr>
          <w:p>
            <w:pPr>
              <w:spacing w:after="20" w:before="20"/>
            </w:pPr>
            <w:r>
              <w:t xml:space="preserve">Warm-up; cameras and arm on one base; periodic re-measurement</w:t>
            </w:r>
          </w:p>
        </w:tc>
        <w:tc>
          <w:tcPr>
            <w:tcW w:type="dxa" w:w="1518"/>
            <w:tcMar>
              <w:top w:type="dxa" w:w="60"/>
              <w:left w:type="dxa" w:w="110"/>
              <w:bottom w:type="dxa" w:w="60"/>
              <w:right w:type="dxa" w:w="110"/>
            </w:tcMar>
          </w:tcPr>
          <w:p>
            <w:pPr>
              <w:spacing w:after="20" w:before="20"/>
            </w:pPr>
            <w:r>
              <w:t xml:space="preserve">0.02–0.05 mm</w:t>
            </w:r>
          </w:p>
        </w:tc>
      </w:tr>
      <w:tr>
        <w:trPr>
          <w:tblHeader w:val="false"/>
        </w:trPr>
        <w:tc>
          <w:tcPr>
            <w:tcW w:type="dxa" w:w="2977"/>
            <w:tcMar>
              <w:top w:type="dxa" w:w="60"/>
              <w:left w:type="dxa" w:w="110"/>
              <w:bottom w:type="dxa" w:w="60"/>
              <w:right w:type="dxa" w:w="110"/>
            </w:tcMar>
          </w:tcPr>
          <w:p>
            <w:pPr>
              <w:spacing w:after="20" w:before="20"/>
            </w:pPr>
            <w:r>
              <w:t xml:space="preserve">Repeatability, pose to pose</w:t>
            </w:r>
          </w:p>
        </w:tc>
        <w:tc>
          <w:tcPr>
            <w:tcW w:type="dxa" w:w="1437"/>
            <w:tcMar>
              <w:top w:type="dxa" w:w="60"/>
              <w:left w:type="dxa" w:w="110"/>
              <w:bottom w:type="dxa" w:w="60"/>
              <w:right w:type="dxa" w:w="110"/>
            </w:tcMar>
          </w:tcPr>
          <w:p>
            <w:pPr>
              <w:spacing w:after="20" w:before="20"/>
            </w:pPr>
            <w:r>
              <w:t xml:space="preserve">0.2 mm (stated)</w:t>
            </w:r>
          </w:p>
        </w:tc>
        <w:tc>
          <w:tcPr>
            <w:tcW w:type="dxa" w:w="3706"/>
            <w:tcMar>
              <w:top w:type="dxa" w:w="60"/>
              <w:left w:type="dxa" w:w="110"/>
              <w:bottom w:type="dxa" w:w="60"/>
              <w:right w:type="dxa" w:w="110"/>
            </w:tcMar>
          </w:tcPr>
          <w:p>
            <w:pPr>
              <w:spacing w:after="20" w:before="20"/>
            </w:pPr>
            <w:r>
              <w:t xml:space="preserve">Closed loop removes the static part, not the random part</w:t>
            </w:r>
          </w:p>
        </w:tc>
        <w:tc>
          <w:tcPr>
            <w:tcW w:type="dxa" w:w="1518"/>
            <w:tcMar>
              <w:top w:type="dxa" w:w="60"/>
              <w:left w:type="dxa" w:w="110"/>
              <w:bottom w:type="dxa" w:w="60"/>
              <w:right w:type="dxa" w:w="110"/>
            </w:tcMar>
          </w:tcPr>
          <w:p>
            <w:pPr>
              <w:spacing w:after="20" w:before="20"/>
            </w:pPr>
            <w:r>
              <w:t xml:space="preserve">0.05–0.15 mm</w:t>
            </w:r>
          </w:p>
        </w:tc>
      </w:tr>
      <w:tr>
        <w:trPr>
          <w:tblHeader w:val="false"/>
        </w:trPr>
        <w:tc>
          <w:tcPr>
            <w:tcW w:type="dxa" w:w="2977"/>
            <w:tcMar>
              <w:top w:type="dxa" w:w="60"/>
              <w:left w:type="dxa" w:w="110"/>
              <w:bottom w:type="dxa" w:w="60"/>
              <w:right w:type="dxa" w:w="110"/>
            </w:tcMar>
          </w:tcPr>
          <w:p>
            <w:pPr>
              <w:spacing w:after="20" w:before="20"/>
            </w:pPr>
            <w:r>
              <w:t xml:space="preserve">Camera measurement noise</w:t>
            </w:r>
          </w:p>
        </w:tc>
        <w:tc>
          <w:tcPr>
            <w:tcW w:type="dxa" w:w="1437"/>
            <w:tcMar>
              <w:top w:type="dxa" w:w="60"/>
              <w:left w:type="dxa" w:w="110"/>
              <w:bottom w:type="dxa" w:w="60"/>
              <w:right w:type="dxa" w:w="110"/>
            </w:tcMar>
          </w:tcPr>
          <w:p>
            <w:pPr>
              <w:spacing w:after="20" w:before="20"/>
            </w:pPr>
            <w:r>
              <w:t xml:space="preserve">0.005–0.02 mm</w:t>
            </w:r>
          </w:p>
        </w:tc>
        <w:tc>
          <w:tcPr>
            <w:tcW w:type="dxa" w:w="3706"/>
            <w:tcMar>
              <w:top w:type="dxa" w:w="60"/>
              <w:left w:type="dxa" w:w="110"/>
              <w:bottom w:type="dxa" w:w="60"/>
              <w:right w:type="dxa" w:w="110"/>
            </w:tcMar>
          </w:tcPr>
          <w:p>
            <w:pPr>
              <w:spacing w:after="20" w:before="20"/>
            </w:pPr>
            <w:r>
              <w:t xml:space="preserve">Averaging several frames</w:t>
            </w:r>
          </w:p>
        </w:tc>
        <w:tc>
          <w:tcPr>
            <w:tcW w:type="dxa" w:w="1518"/>
            <w:tcMar>
              <w:top w:type="dxa" w:w="60"/>
              <w:left w:type="dxa" w:w="110"/>
              <w:bottom w:type="dxa" w:w="60"/>
              <w:right w:type="dxa" w:w="110"/>
            </w:tcMar>
          </w:tcPr>
          <w:p>
            <w:pPr>
              <w:spacing w:after="20" w:before="20"/>
            </w:pPr>
            <w:r>
              <w:t xml:space="preserve">negligible</w:t>
            </w:r>
          </w:p>
        </w:tc>
      </w:tr>
      <w:tr>
        <w:trPr>
          <w:tblHeader w:val="false"/>
        </w:trPr>
        <w:tc>
          <w:tcPr>
            <w:tcW w:type="dxa" w:w="2977"/>
            <w:tcMar>
              <w:top w:type="dxa" w:w="60"/>
              <w:left w:type="dxa" w:w="110"/>
              <w:bottom w:type="dxa" w:w="60"/>
              <w:right w:type="dxa" w:w="110"/>
            </w:tcMar>
          </w:tcPr>
          <w:p>
            <w:pPr>
              <w:spacing w:after="20" w:before="20"/>
            </w:pPr>
            <w:r>
              <w:t xml:space="preserve">Phantom and tool definition</w:t>
            </w:r>
          </w:p>
        </w:tc>
        <w:tc>
          <w:tcPr>
            <w:tcW w:type="dxa" w:w="1437"/>
            <w:tcMar>
              <w:top w:type="dxa" w:w="60"/>
              <w:left w:type="dxa" w:w="110"/>
              <w:bottom w:type="dxa" w:w="60"/>
              <w:right w:type="dxa" w:w="110"/>
            </w:tcMar>
          </w:tcPr>
          <w:p>
            <w:pPr>
              <w:spacing w:after="20" w:before="20"/>
            </w:pPr>
            <w:r>
              <w:t xml:space="preserve">0.05–0.2 mm</w:t>
            </w:r>
          </w:p>
        </w:tc>
        <w:tc>
          <w:tcPr>
            <w:tcW w:type="dxa" w:w="3706"/>
            <w:tcMar>
              <w:top w:type="dxa" w:w="60"/>
              <w:left w:type="dxa" w:w="110"/>
              <w:bottom w:type="dxa" w:w="60"/>
              <w:right w:type="dxa" w:w="110"/>
            </w:tcMar>
          </w:tcPr>
          <w:p>
            <w:pPr>
              <w:spacing w:after="20" w:before="20"/>
            </w:pPr>
            <w:r>
              <w:t xml:space="preserve">Careful step 3 and step 6</w:t>
            </w:r>
          </w:p>
        </w:tc>
        <w:tc>
          <w:tcPr>
            <w:tcW w:type="dxa" w:w="1518"/>
            <w:tcMar>
              <w:top w:type="dxa" w:w="60"/>
              <w:left w:type="dxa" w:w="110"/>
              <w:bottom w:type="dxa" w:w="60"/>
              <w:right w:type="dxa" w:w="110"/>
            </w:tcMar>
          </w:tcPr>
          <w:p>
            <w:pPr>
              <w:spacing w:after="20" w:before="20"/>
            </w:pPr>
            <w:r>
              <w:t xml:space="preserve">0.02–0.05 mm</w:t>
            </w:r>
          </w:p>
        </w:tc>
      </w:tr>
    </w:tbl>
    <w:p>
      <w:pPr>
        <w:spacing w:after="160"/>
      </w:pPr>
    </w:p>
    <w:p>
      <w:pPr>
        <w:spacing w:after="120" w:before="60" w:line="280"/>
      </w:pPr>
      <w:r>
        <w:t xml:space="preserve">A realistic target for the finished system is a pointing error of 0.1 to 0.2 mm over a working volume of a few centimetres, which is roughly clinical scale if you present the model at 1:4. Getting to 0.05 mm is possible on a good day in a small volume; claiming it as a routine figure is not.</w:t>
      </w:r>
    </w:p>
    <w:p>
      <w:pPr>
        <w:pStyle w:val="Heading1"/>
        <w:pBdr>
          <w:bottom w:val="single" w:color="BFBFBF" w:sz="6" w:space="4"/>
        </w:pBdr>
        <w:spacing w:after="120" w:before="320"/>
      </w:pPr>
      <w:r>
        <w:t xml:space="preserve">7. Measuring performance</w:t>
      </w:r>
    </w:p>
    <w:p>
      <w:pPr>
        <w:spacing w:after="120" w:before="60" w:line="280"/>
      </w:pPr>
      <w:r>
        <w:t xml:space="preserve">Adopt the clinical tests, since they were designed for exactly this question.</w:t>
      </w:r>
    </w:p>
    <w:p>
      <w:pPr>
        <w:pStyle w:val="ListParagraph"/>
        <w:numPr>
          <w:ilvl w:val="0"/>
          <w:numId w:val="5"/>
        </w:numPr>
        <w:spacing w:after="40" w:before="40" w:line="280"/>
      </w:pPr>
      <w:r>
        <w:rPr>
          <w:b/>
          <w:bCs/>
        </w:rPr>
        <w:t xml:space="preserve">Winston-Lutz analogue.</w:t>
      </w:r>
      <w:r>
        <w:t xml:space="preserve"> Aim at the phantom ball from 12 to 20 directions spread over the accessible hemisphere. For each, record the spot-to-centre distance. Report the mean, the 95th percentile and the maximum, not just the best case.</w:t>
      </w:r>
    </w:p>
    <w:p>
      <w:pPr>
        <w:pStyle w:val="ListParagraph"/>
        <w:numPr>
          <w:ilvl w:val="0"/>
          <w:numId w:val="5"/>
        </w:numPr>
        <w:spacing w:after="40" w:before="40" w:line="280"/>
      </w:pPr>
      <w:r>
        <w:rPr>
          <w:b/>
          <w:bCs/>
        </w:rPr>
        <w:t xml:space="preserve">Open-loop versus closed-loop.</w:t>
      </w:r>
      <w:r>
        <w:t xml:space="preserve"> Run the same set twice, with and without the correction loop. This single comparison is the project's main result and makes a good figure.</w:t>
      </w:r>
    </w:p>
    <w:p>
      <w:pPr>
        <w:pStyle w:val="ListParagraph"/>
        <w:numPr>
          <w:ilvl w:val="0"/>
          <w:numId w:val="5"/>
        </w:numPr>
        <w:spacing w:after="40" w:before="40" w:line="280"/>
      </w:pPr>
      <w:r>
        <w:rPr>
          <w:b/>
          <w:bCs/>
        </w:rPr>
        <w:t xml:space="preserve">Repeatability.</w:t>
      </w:r>
      <w:r>
        <w:t xml:space="preserve"> Return to the same pose thirty times from different directions and record the spread. This bounds what the loop can achieve.</w:t>
      </w:r>
    </w:p>
    <w:p>
      <w:pPr>
        <w:pStyle w:val="ListParagraph"/>
        <w:numPr>
          <w:ilvl w:val="0"/>
          <w:numId w:val="5"/>
        </w:numPr>
        <w:spacing w:after="40" w:before="40" w:line="280"/>
      </w:pPr>
      <w:r>
        <w:rPr>
          <w:b/>
          <w:bCs/>
        </w:rPr>
        <w:t xml:space="preserve">Drift.</w:t>
      </w:r>
      <w:r>
        <w:t xml:space="preserve"> Repeat one pose every five minutes for an hour from cold. It tells you the warm-up time you need and whether periodic re-measurement is required.</w:t>
      </w:r>
    </w:p>
    <w:p>
      <w:pPr>
        <w:pStyle w:val="ListParagraph"/>
        <w:numPr>
          <w:ilvl w:val="0"/>
          <w:numId w:val="5"/>
        </w:numPr>
        <w:spacing w:after="40" w:before="40" w:line="280"/>
      </w:pPr>
      <w:r>
        <w:rPr>
          <w:b/>
          <w:bCs/>
        </w:rPr>
        <w:t xml:space="preserve">Log everything.</w:t>
      </w:r>
      <w:r>
        <w:t xml:space="preserve"> One row per attempt, with timestamp, commanded pose, measured error, iterations and final status. The log is what turns the demonstrator into a project you can publish or show.</w:t>
      </w:r>
    </w:p>
    <w:p>
      <w:pPr>
        <w:pStyle w:val="Heading1"/>
        <w:pBdr>
          <w:bottom w:val="single" w:color="BFBFBF" w:sz="6" w:space="4"/>
        </w:pBdr>
        <w:spacing w:after="120" w:before="320"/>
      </w:pPr>
      <w:r>
        <w:t xml:space="preserve">8. Software</w:t>
      </w:r>
    </w:p>
    <w:p>
      <w:pPr>
        <w:spacing w:after="120" w:before="60" w:line="280"/>
      </w:pPr>
      <w:r>
        <w:t xml:space="preserve">Python is enough for all of it: OpenCV for the camera work (</w:t>
      </w:r>
      <w:r>
        <w:rPr>
          <w:rFonts w:ascii="Consolas" w:cs="Consolas" w:eastAsia="Consolas" w:hAnsi="Consolas"/>
          <w:sz w:val="19"/>
          <w:szCs w:val="19"/>
        </w:rPr>
        <w:t xml:space="preserve">cv2.aruco</w:t>
      </w:r>
      <w:r>
        <w:t xml:space="preserve">, </w:t>
      </w:r>
      <w:r>
        <w:rPr>
          <w:rFonts w:ascii="Consolas" w:cs="Consolas" w:eastAsia="Consolas" w:hAnsi="Consolas"/>
          <w:sz w:val="19"/>
          <w:szCs w:val="19"/>
        </w:rPr>
        <w:t xml:space="preserve">calibrateCamera</w:t>
      </w:r>
      <w:r>
        <w:t xml:space="preserve">, </w:t>
      </w:r>
      <w:r>
        <w:rPr>
          <w:rFonts w:ascii="Consolas" w:cs="Consolas" w:eastAsia="Consolas" w:hAnsi="Consolas"/>
          <w:sz w:val="19"/>
          <w:szCs w:val="19"/>
        </w:rPr>
        <w:t xml:space="preserve">calibrateHandEye</w:t>
      </w:r>
      <w:r>
        <w:t xml:space="preserve">, </w:t>
      </w:r>
      <w:r>
        <w:rPr>
          <w:rFonts w:ascii="Consolas" w:cs="Consolas" w:eastAsia="Consolas" w:hAnsi="Consolas"/>
          <w:sz w:val="19"/>
          <w:szCs w:val="19"/>
        </w:rPr>
        <w:t xml:space="preserve">solvePnP</w:t>
      </w:r>
      <w:r>
        <w:t xml:space="preserve">), NumPy and SciPy for the kinematic fit (</w:t>
      </w:r>
      <w:r>
        <w:rPr>
          <w:rFonts w:ascii="Consolas" w:cs="Consolas" w:eastAsia="Consolas" w:hAnsi="Consolas"/>
          <w:sz w:val="19"/>
          <w:szCs w:val="19"/>
        </w:rPr>
        <w:t xml:space="preserve">scipy.optimize.least_squares</w:t>
      </w:r>
      <w:r>
        <w:t xml:space="preserve">) and the interpolated error map, and the arm's own interface for motion, which is serial G-code on the Mirobot and the </w:t>
      </w:r>
      <w:r>
        <w:rPr>
          <w:rFonts w:ascii="Consolas" w:cs="Consolas" w:eastAsia="Consolas" w:hAnsi="Consolas"/>
          <w:sz w:val="19"/>
          <w:szCs w:val="19"/>
        </w:rPr>
        <w:t xml:space="preserve">pymycobot</w:t>
      </w:r>
      <w:r>
        <w:t xml:space="preserve"> library on the myCobot. Keep the geometry constants, the calibration results and the error map in one file, versioned, and stamp every log with the calibration version used.</w:t>
      </w:r>
    </w:p>
    <w:p>
      <w:pPr>
        <w:pStyle w:val="Heading1"/>
        <w:pBdr>
          <w:bottom w:val="single" w:color="BFBFBF" w:sz="6" w:space="4"/>
        </w:pBdr>
        <w:spacing w:after="120" w:before="320"/>
      </w:pPr>
      <w:r>
        <w:t xml:space="preserve">9. Roadmap</w:t>
      </w:r>
    </w:p>
    <w:tbl>
      <w:tblPr>
        <w:tblW w:type="auto" w:w="100"/>
        <w:tblBorders>
          <w:top w:val="single" w:color="BFBFBF" w:sz="4"/>
          <w:left w:val="single" w:color="BFBFBF" w:sz="4"/>
          <w:bottom w:val="single" w:color="BFBFBF" w:sz="4"/>
          <w:right w:val="single" w:color="BFBFBF" w:sz="4"/>
          <w:insideH w:val="single" w:color="auto" w:sz="4"/>
          <w:insideV w:val="single" w:color="auto" w:sz="4"/>
        </w:tblBorders>
      </w:tblPr>
      <w:tblGrid>
        <w:gridCol w:w="1338"/>
        <w:gridCol w:w="4150"/>
        <w:gridCol w:w="4150"/>
      </w:tblGrid>
      <w:tr>
        <w:trPr>
          <w:tblHeader/>
        </w:trPr>
        <w:tc>
          <w:tcPr>
            <w:tcW w:type="dxa" w:w="1338"/>
            <w:shd w:fill="E7EDF4" w:color="auto" w:val="clear"/>
            <w:tcMar>
              <w:top w:type="dxa" w:w="60"/>
              <w:left w:type="dxa" w:w="110"/>
              <w:bottom w:type="dxa" w:w="60"/>
              <w:right w:type="dxa" w:w="110"/>
            </w:tcMar>
          </w:tcPr>
          <w:p>
            <w:pPr>
              <w:spacing w:after="20" w:before="20"/>
            </w:pPr>
            <w:r>
              <w:rPr>
                <w:b/>
                <w:bCs/>
                <w:color w:val="1F3864"/>
              </w:rPr>
              <w:t xml:space="preserve">Phase</w:t>
            </w:r>
          </w:p>
        </w:tc>
        <w:tc>
          <w:tcPr>
            <w:tcW w:type="dxa" w:w="4150"/>
            <w:shd w:fill="E7EDF4" w:color="auto" w:val="clear"/>
            <w:tcMar>
              <w:top w:type="dxa" w:w="60"/>
              <w:left w:type="dxa" w:w="110"/>
              <w:bottom w:type="dxa" w:w="60"/>
              <w:right w:type="dxa" w:w="110"/>
            </w:tcMar>
          </w:tcPr>
          <w:p>
            <w:pPr>
              <w:spacing w:after="20" w:before="20"/>
            </w:pPr>
            <w:r>
              <w:rPr>
                <w:b/>
                <w:bCs/>
                <w:color w:val="1F3864"/>
              </w:rPr>
              <w:t xml:space="preserve">Content</w:t>
            </w:r>
          </w:p>
        </w:tc>
        <w:tc>
          <w:tcPr>
            <w:tcW w:type="dxa" w:w="4150"/>
            <w:shd w:fill="E7EDF4" w:color="auto" w:val="clear"/>
            <w:tcMar>
              <w:top w:type="dxa" w:w="60"/>
              <w:left w:type="dxa" w:w="110"/>
              <w:bottom w:type="dxa" w:w="60"/>
              <w:right w:type="dxa" w:w="110"/>
            </w:tcMar>
          </w:tcPr>
          <w:p>
            <w:pPr>
              <w:spacing w:after="20" w:before="20"/>
            </w:pPr>
            <w:r>
              <w:rPr>
                <w:b/>
                <w:bCs/>
                <w:color w:val="1F3864"/>
              </w:rPr>
              <w:t xml:space="preserve">Acceptance criterion</w:t>
            </w:r>
          </w:p>
        </w:tc>
      </w:tr>
      <w:tr>
        <w:trPr>
          <w:tblHeader w:val="false"/>
        </w:trPr>
        <w:tc>
          <w:tcPr>
            <w:tcW w:type="dxa" w:w="1338"/>
            <w:tcMar>
              <w:top w:type="dxa" w:w="60"/>
              <w:left w:type="dxa" w:w="110"/>
              <w:bottom w:type="dxa" w:w="60"/>
              <w:right w:type="dxa" w:w="110"/>
            </w:tcMar>
          </w:tcPr>
          <w:p>
            <w:pPr>
              <w:spacing w:after="20" w:before="20"/>
            </w:pPr>
            <w:r>
              <w:t xml:space="preserve">1</w:t>
            </w:r>
          </w:p>
        </w:tc>
        <w:tc>
          <w:tcPr>
            <w:tcW w:type="dxa" w:w="4150"/>
            <w:tcMar>
              <w:top w:type="dxa" w:w="60"/>
              <w:left w:type="dxa" w:w="110"/>
              <w:bottom w:type="dxa" w:w="60"/>
              <w:right w:type="dxa" w:w="110"/>
            </w:tcMar>
          </w:tcPr>
          <w:p>
            <w:pPr>
              <w:spacing w:after="20" w:before="20"/>
            </w:pPr>
            <w:r>
              <w:t xml:space="preserve">Rigid bench, arm mounted, laser and marker on the tool, phantom in place</w:t>
            </w:r>
          </w:p>
        </w:tc>
        <w:tc>
          <w:tcPr>
            <w:tcW w:type="dxa" w:w="4150"/>
            <w:tcMar>
              <w:top w:type="dxa" w:w="60"/>
              <w:left w:type="dxa" w:w="110"/>
              <w:bottom w:type="dxa" w:w="60"/>
              <w:right w:type="dxa" w:w="110"/>
            </w:tcMar>
          </w:tcPr>
          <w:p>
            <w:pPr>
              <w:spacing w:after="20" w:before="20"/>
            </w:pPr>
            <w:r>
              <w:t xml:space="preserve">The ball stays within 0.1 mm in the camera view when the bench is nudged gently</w:t>
            </w:r>
          </w:p>
        </w:tc>
      </w:tr>
      <w:tr>
        <w:trPr>
          <w:tblHeader w:val="false"/>
        </w:trPr>
        <w:tc>
          <w:tcPr>
            <w:tcW w:type="dxa" w:w="1338"/>
            <w:tcMar>
              <w:top w:type="dxa" w:w="60"/>
              <w:left w:type="dxa" w:w="110"/>
              <w:bottom w:type="dxa" w:w="60"/>
              <w:right w:type="dxa" w:w="110"/>
            </w:tcMar>
          </w:tcPr>
          <w:p>
            <w:pPr>
              <w:spacing w:after="20" w:before="20"/>
            </w:pPr>
            <w:r>
              <w:t xml:space="preserve">2</w:t>
            </w:r>
          </w:p>
        </w:tc>
        <w:tc>
          <w:tcPr>
            <w:tcW w:type="dxa" w:w="4150"/>
            <w:tcMar>
              <w:top w:type="dxa" w:w="60"/>
              <w:left w:type="dxa" w:w="110"/>
              <w:bottom w:type="dxa" w:w="60"/>
              <w:right w:type="dxa" w:w="110"/>
            </w:tcMar>
          </w:tcPr>
          <w:p>
            <w:pPr>
              <w:spacing w:after="20" w:before="20"/>
            </w:pPr>
            <w:r>
              <w:t xml:space="preserve">Camera calibration and triangulation</w:t>
            </w:r>
          </w:p>
        </w:tc>
        <w:tc>
          <w:tcPr>
            <w:tcW w:type="dxa" w:w="4150"/>
            <w:tcMar>
              <w:top w:type="dxa" w:w="60"/>
              <w:left w:type="dxa" w:w="110"/>
              <w:bottom w:type="dxa" w:w="60"/>
              <w:right w:type="dxa" w:w="110"/>
            </w:tcMar>
          </w:tcPr>
          <w:p>
            <w:pPr>
              <w:spacing w:after="20" w:before="20"/>
            </w:pPr>
            <w:r>
              <w:t xml:space="preserve">Reprojection error below 0.3 pixels; a known 50 mm distance measured to better than 0.1 mm</w:t>
            </w:r>
          </w:p>
        </w:tc>
      </w:tr>
      <w:tr>
        <w:trPr>
          <w:tblHeader w:val="false"/>
        </w:trPr>
        <w:tc>
          <w:tcPr>
            <w:tcW w:type="dxa" w:w="1338"/>
            <w:tcMar>
              <w:top w:type="dxa" w:w="60"/>
              <w:left w:type="dxa" w:w="110"/>
              <w:bottom w:type="dxa" w:w="60"/>
              <w:right w:type="dxa" w:w="110"/>
            </w:tcMar>
          </w:tcPr>
          <w:p>
            <w:pPr>
              <w:spacing w:after="20" w:before="20"/>
            </w:pPr>
            <w:r>
              <w:t xml:space="preserve">3</w:t>
            </w:r>
          </w:p>
        </w:tc>
        <w:tc>
          <w:tcPr>
            <w:tcW w:type="dxa" w:w="4150"/>
            <w:tcMar>
              <w:top w:type="dxa" w:w="60"/>
              <w:left w:type="dxa" w:w="110"/>
              <w:bottom w:type="dxa" w:w="60"/>
              <w:right w:type="dxa" w:w="110"/>
            </w:tcMar>
          </w:tcPr>
          <w:p>
            <w:pPr>
              <w:spacing w:after="20" w:before="20"/>
            </w:pPr>
            <w:r>
              <w:t xml:space="preserve">Hand-eye and kinematic fit</w:t>
            </w:r>
          </w:p>
        </w:tc>
        <w:tc>
          <w:tcPr>
            <w:tcW w:type="dxa" w:w="4150"/>
            <w:tcMar>
              <w:top w:type="dxa" w:w="60"/>
              <w:left w:type="dxa" w:w="110"/>
              <w:bottom w:type="dxa" w:w="60"/>
              <w:right w:type="dxa" w:w="110"/>
            </w:tcMar>
          </w:tcPr>
          <w:p>
            <w:pPr>
              <w:spacing w:after="20" w:before="20"/>
            </w:pPr>
            <w:r>
              <w:t xml:space="preserve">Absolute accuracy better than 0.5 mm across the working volume</w:t>
            </w:r>
          </w:p>
        </w:tc>
      </w:tr>
      <w:tr>
        <w:trPr>
          <w:tblHeader w:val="false"/>
        </w:trPr>
        <w:tc>
          <w:tcPr>
            <w:tcW w:type="dxa" w:w="1338"/>
            <w:tcMar>
              <w:top w:type="dxa" w:w="60"/>
              <w:left w:type="dxa" w:w="110"/>
              <w:bottom w:type="dxa" w:w="60"/>
              <w:right w:type="dxa" w:w="110"/>
            </w:tcMar>
          </w:tcPr>
          <w:p>
            <w:pPr>
              <w:spacing w:after="20" w:before="20"/>
            </w:pPr>
            <w:r>
              <w:t xml:space="preserve">4</w:t>
            </w:r>
          </w:p>
        </w:tc>
        <w:tc>
          <w:tcPr>
            <w:tcW w:type="dxa" w:w="4150"/>
            <w:tcMar>
              <w:top w:type="dxa" w:w="60"/>
              <w:left w:type="dxa" w:w="110"/>
              <w:bottom w:type="dxa" w:w="60"/>
              <w:right w:type="dxa" w:w="110"/>
            </w:tcMar>
          </w:tcPr>
          <w:p>
            <w:pPr>
              <w:spacing w:after="20" w:before="20"/>
            </w:pPr>
            <w:r>
              <w:t xml:space="preserve">Error map and feed-forward correction</w:t>
            </w:r>
          </w:p>
        </w:tc>
        <w:tc>
          <w:tcPr>
            <w:tcW w:type="dxa" w:w="4150"/>
            <w:tcMar>
              <w:top w:type="dxa" w:w="60"/>
              <w:left w:type="dxa" w:w="110"/>
              <w:bottom w:type="dxa" w:w="60"/>
              <w:right w:type="dxa" w:w="110"/>
            </w:tcMar>
          </w:tcPr>
          <w:p>
            <w:pPr>
              <w:spacing w:after="20" w:before="20"/>
            </w:pPr>
            <w:r>
              <w:t xml:space="preserve">Absolute accuracy better than 0.25 mm</w:t>
            </w:r>
          </w:p>
        </w:tc>
      </w:tr>
      <w:tr>
        <w:trPr>
          <w:tblHeader w:val="false"/>
        </w:trPr>
        <w:tc>
          <w:tcPr>
            <w:tcW w:type="dxa" w:w="1338"/>
            <w:tcMar>
              <w:top w:type="dxa" w:w="60"/>
              <w:left w:type="dxa" w:w="110"/>
              <w:bottom w:type="dxa" w:w="60"/>
              <w:right w:type="dxa" w:w="110"/>
            </w:tcMar>
          </w:tcPr>
          <w:p>
            <w:pPr>
              <w:spacing w:after="20" w:before="20"/>
            </w:pPr>
            <w:r>
              <w:t xml:space="preserve">5</w:t>
            </w:r>
          </w:p>
        </w:tc>
        <w:tc>
          <w:tcPr>
            <w:tcW w:type="dxa" w:w="4150"/>
            <w:tcMar>
              <w:top w:type="dxa" w:w="60"/>
              <w:left w:type="dxa" w:w="110"/>
              <w:bottom w:type="dxa" w:w="60"/>
              <w:right w:type="dxa" w:w="110"/>
            </w:tcMar>
          </w:tcPr>
          <w:p>
            <w:pPr>
              <w:spacing w:after="20" w:before="20"/>
            </w:pPr>
            <w:r>
              <w:t xml:space="preserve">Closed-loop correction</w:t>
            </w:r>
          </w:p>
        </w:tc>
        <w:tc>
          <w:tcPr>
            <w:tcW w:type="dxa" w:w="4150"/>
            <w:tcMar>
              <w:top w:type="dxa" w:w="60"/>
              <w:left w:type="dxa" w:w="110"/>
              <w:bottom w:type="dxa" w:w="60"/>
              <w:right w:type="dxa" w:w="110"/>
            </w:tcMar>
          </w:tcPr>
          <w:p>
            <w:pPr>
              <w:spacing w:after="20" w:before="20"/>
            </w:pPr>
            <w:r>
              <w:t xml:space="preserve">Pointing error below 0.2 mm at the 95th percentile over 20 directions</w:t>
            </w:r>
          </w:p>
        </w:tc>
      </w:tr>
      <w:tr>
        <w:trPr>
          <w:tblHeader w:val="false"/>
        </w:trPr>
        <w:tc>
          <w:tcPr>
            <w:tcW w:type="dxa" w:w="1338"/>
            <w:tcMar>
              <w:top w:type="dxa" w:w="60"/>
              <w:left w:type="dxa" w:w="110"/>
              <w:bottom w:type="dxa" w:w="60"/>
              <w:right w:type="dxa" w:w="110"/>
            </w:tcMar>
          </w:tcPr>
          <w:p>
            <w:pPr>
              <w:spacing w:after="20" w:before="20"/>
            </w:pPr>
            <w:r>
              <w:t xml:space="preserve">6</w:t>
            </w:r>
          </w:p>
        </w:tc>
        <w:tc>
          <w:tcPr>
            <w:tcW w:type="dxa" w:w="4150"/>
            <w:tcMar>
              <w:top w:type="dxa" w:w="60"/>
              <w:left w:type="dxa" w:w="110"/>
              <w:bottom w:type="dxa" w:w="60"/>
              <w:right w:type="dxa" w:w="110"/>
            </w:tcMar>
          </w:tcPr>
          <w:p>
            <w:pPr>
              <w:spacing w:after="20" w:before="20"/>
            </w:pPr>
            <w:r>
              <w:t xml:space="preserve">Demonstration mode</w:t>
            </w:r>
          </w:p>
        </w:tc>
        <w:tc>
          <w:tcPr>
            <w:tcW w:type="dxa" w:w="4150"/>
            <w:tcMar>
              <w:top w:type="dxa" w:w="60"/>
              <w:left w:type="dxa" w:w="110"/>
              <w:bottom w:type="dxa" w:w="60"/>
              <w:right w:type="dxa" w:w="110"/>
            </w:tcMar>
          </w:tcPr>
          <w:p>
            <w:pPr>
              <w:spacing w:after="20" w:before="20"/>
            </w:pPr>
            <w:r>
              <w:t xml:space="preserve">A scripted sequence of directions with a live display of the measured error</w:t>
            </w:r>
          </w:p>
        </w:tc>
      </w:tr>
    </w:tbl>
    <w:p>
      <w:pPr>
        <w:spacing w:after="160"/>
      </w:pPr>
    </w:p>
    <w:p>
      <w:pPr>
        <w:pStyle w:val="Heading1"/>
        <w:pBdr>
          <w:bottom w:val="single" w:color="BFBFBF" w:sz="6" w:space="4"/>
        </w:pBdr>
        <w:spacing w:after="120" w:before="320"/>
      </w:pPr>
      <w:r>
        <w:t xml:space="preserve">10. Safety and practical notes</w:t>
      </w:r>
    </w:p>
    <w:p>
      <w:pPr>
        <w:spacing w:after="120" w:before="60" w:line="280"/>
      </w:pPr>
      <w:r>
        <w:t xml:space="preserve">Use a class 2 laser module or lower and keep the beam in a horizontal plane below eye level, with a beam stop behind the phantom. Keep arm speeds low and the working area clear; a small arm can still pinch. Provide a physical emergency stop that cuts motor power, not just a software button. Finally, if the model is shown to patients or visitors, say clearly that it illustrates a principle and that the real machine is verified by a physics team to clinical tolerances.</w:t>
      </w:r>
    </w:p>
    <w:p>
      <w:r>
        <w:br w:type="page"/>
      </w:r>
    </w:p>
    <w:p>
      <w:pPr>
        <w:pStyle w:val="Heading1"/>
      </w:pPr>
      <w:r>
        <w:t>Website publication package</w:t>
      </w:r>
    </w:p>
    <w:p>
      <w:r>
        <w:t>A low-cost robot deliberately exposes the difference between commanded position and measured beam direction. Stereo cameras close the loop, and the project reports whether correction improves the same set of test directions.</w:t>
      </w:r>
    </w:p>
    <w:p>
      <w:pPr>
        <w:pStyle w:val="Heading2"/>
      </w:pPr>
      <w:r>
        <w:t>What visitors will learn</w:t>
      </w:r>
    </w:p>
    <w:p>
      <w:pPr>
        <w:ind w:left="360" w:hanging="230"/>
      </w:pPr>
      <w:r>
        <w:t>• Why repeatability and absolute accuracy are not interchangeable.</w:t>
      </w:r>
    </w:p>
    <w:p>
      <w:pPr>
        <w:ind w:left="360" w:hanging="230"/>
      </w:pPr>
      <w:r>
        <w:t>• How image guidance can turn measurement into a correction and an interlock.</w:t>
      </w:r>
    </w:p>
    <w:p>
      <w:pPr>
        <w:ind w:left="360" w:hanging="230"/>
      </w:pPr>
      <w:r>
        <w:t>• Why performance must be reported as a distribution rather than a best case.</w:t>
      </w:r>
    </w:p>
    <w:p>
      <w:pPr>
        <w:pStyle w:val="Heading2"/>
      </w:pPr>
      <w:r>
        <w:t>Development status and evidence</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3331"/>
            <w:shd w:fill="176B87"/>
            <w:vAlign w:val="center"/>
          </w:tcPr>
          <w:p>
            <w:r>
              <w:rPr>
                <w:b/>
                <w:color w:val="FFFFFF"/>
                <w:sz w:val="18"/>
              </w:rPr>
              <w:t>Stage</w:t>
            </w:r>
          </w:p>
        </w:tc>
        <w:tc>
          <w:tcPr>
            <w:tcW w:type="dxa" w:w="3331"/>
            <w:shd w:fill="176B87"/>
            <w:vAlign w:val="center"/>
          </w:tcPr>
          <w:p>
            <w:r>
              <w:rPr>
                <w:b/>
                <w:color w:val="FFFFFF"/>
                <w:sz w:val="18"/>
              </w:rPr>
              <w:t>Work product</w:t>
            </w:r>
          </w:p>
        </w:tc>
        <w:tc>
          <w:tcPr>
            <w:tcW w:type="dxa" w:w="3331"/>
            <w:shd w:fill="176B87"/>
            <w:vAlign w:val="center"/>
          </w:tcPr>
          <w:p>
            <w:r>
              <w:rPr>
                <w:b/>
                <w:color w:val="FFFFFF"/>
                <w:sz w:val="18"/>
              </w:rPr>
              <w:t>Publish when</w:t>
            </w:r>
          </w:p>
        </w:tc>
      </w:tr>
      <w:tr>
        <w:tc>
          <w:tcPr>
            <w:tcW w:type="dxa" w:w="3331"/>
            <w:vAlign w:val="center"/>
          </w:tcPr>
          <w:p>
            <w:pPr>
              <w:spacing w:after="40"/>
            </w:pPr>
            <w:r>
              <w:rPr>
                <w:sz w:val="18"/>
              </w:rPr>
              <w:t>Metrology bench</w:t>
            </w:r>
          </w:p>
        </w:tc>
        <w:tc>
          <w:tcPr>
            <w:tcW w:type="dxa" w:w="3331"/>
            <w:vAlign w:val="center"/>
          </w:tcPr>
          <w:p>
            <w:pPr>
              <w:spacing w:after="40"/>
            </w:pPr>
            <w:r>
              <w:rPr>
                <w:sz w:val="18"/>
              </w:rPr>
              <w:t>Rigid common base, stereo cameras and reference artefact</w:t>
            </w:r>
          </w:p>
        </w:tc>
        <w:tc>
          <w:tcPr>
            <w:tcW w:type="dxa" w:w="3331"/>
            <w:vAlign w:val="center"/>
          </w:tcPr>
          <w:p>
            <w:pPr>
              <w:spacing w:after="40"/>
            </w:pPr>
            <w:r>
              <w:rPr>
                <w:sz w:val="18"/>
              </w:rPr>
              <w:t>Known 50 mm distance measured within 0.1 mm</w:t>
            </w:r>
          </w:p>
        </w:tc>
      </w:tr>
      <w:tr>
        <w:tc>
          <w:tcPr>
            <w:tcW w:type="dxa" w:w="3331"/>
            <w:vAlign w:val="center"/>
            <w:shd w:fill="F5F8F9"/>
          </w:tcPr>
          <w:p>
            <w:pPr>
              <w:spacing w:after="40"/>
            </w:pPr>
            <w:r>
              <w:rPr>
                <w:sz w:val="18"/>
              </w:rPr>
              <w:t>Calibration</w:t>
            </w:r>
          </w:p>
        </w:tc>
        <w:tc>
          <w:tcPr>
            <w:tcW w:type="dxa" w:w="3331"/>
            <w:vAlign w:val="center"/>
            <w:shd w:fill="F5F8F9"/>
          </w:tcPr>
          <w:p>
            <w:pPr>
              <w:spacing w:after="40"/>
            </w:pPr>
            <w:r>
              <w:rPr>
                <w:sz w:val="18"/>
              </w:rPr>
              <w:t>Intrinsics, stereo, hand-eye and tool-axis models</w:t>
            </w:r>
          </w:p>
        </w:tc>
        <w:tc>
          <w:tcPr>
            <w:tcW w:type="dxa" w:w="3331"/>
            <w:vAlign w:val="center"/>
            <w:shd w:fill="F5F8F9"/>
          </w:tcPr>
          <w:p>
            <w:pPr>
              <w:spacing w:after="40"/>
            </w:pPr>
            <w:r>
              <w:rPr>
                <w:sz w:val="18"/>
              </w:rPr>
              <w:t>Reprojection error below 0.3 pixels with residuals reported</w:t>
            </w:r>
          </w:p>
        </w:tc>
      </w:tr>
      <w:tr>
        <w:tc>
          <w:tcPr>
            <w:tcW w:type="dxa" w:w="3331"/>
            <w:vAlign w:val="center"/>
          </w:tcPr>
          <w:p>
            <w:pPr>
              <w:spacing w:after="40"/>
            </w:pPr>
            <w:r>
              <w:rPr>
                <w:sz w:val="18"/>
              </w:rPr>
              <w:t>Open-loop baseline</w:t>
            </w:r>
          </w:p>
        </w:tc>
        <w:tc>
          <w:tcPr>
            <w:tcW w:type="dxa" w:w="3331"/>
            <w:vAlign w:val="center"/>
          </w:tcPr>
          <w:p>
            <w:pPr>
              <w:spacing w:after="40"/>
            </w:pPr>
            <w:r>
              <w:rPr>
                <w:sz w:val="18"/>
              </w:rPr>
              <w:t>Twenty-direction pointing dataset</w:t>
            </w:r>
          </w:p>
        </w:tc>
        <w:tc>
          <w:tcPr>
            <w:tcW w:type="dxa" w:w="3331"/>
            <w:vAlign w:val="center"/>
          </w:tcPr>
          <w:p>
            <w:pPr>
              <w:spacing w:after="40"/>
            </w:pPr>
            <w:r>
              <w:rPr>
                <w:sz w:val="18"/>
              </w:rPr>
              <w:t>Mean, 95th percentile and maximum reported</w:t>
            </w:r>
          </w:p>
        </w:tc>
      </w:tr>
      <w:tr>
        <w:tc>
          <w:tcPr>
            <w:tcW w:type="dxa" w:w="3331"/>
            <w:vAlign w:val="center"/>
            <w:shd w:fill="F5F8F9"/>
          </w:tcPr>
          <w:p>
            <w:pPr>
              <w:spacing w:after="40"/>
            </w:pPr>
            <w:r>
              <w:rPr>
                <w:sz w:val="18"/>
              </w:rPr>
              <w:t>Closed-loop test</w:t>
            </w:r>
          </w:p>
        </w:tc>
        <w:tc>
          <w:tcPr>
            <w:tcW w:type="dxa" w:w="3331"/>
            <w:vAlign w:val="center"/>
            <w:shd w:fill="F5F8F9"/>
          </w:tcPr>
          <w:p>
            <w:pPr>
              <w:spacing w:after="40"/>
            </w:pPr>
            <w:r>
              <w:rPr>
                <w:sz w:val="18"/>
              </w:rPr>
              <w:t>Same directions with correction enabled</w:t>
            </w:r>
          </w:p>
        </w:tc>
        <w:tc>
          <w:tcPr>
            <w:tcW w:type="dxa" w:w="3331"/>
            <w:vAlign w:val="center"/>
            <w:shd w:fill="F5F8F9"/>
          </w:tcPr>
          <w:p>
            <w:pPr>
              <w:spacing w:after="40"/>
            </w:pPr>
            <w:r>
              <w:rPr>
                <w:sz w:val="18"/>
              </w:rPr>
              <w:t>95th percentile below 0.2 mm or documented failure analysis</w:t>
            </w:r>
          </w:p>
        </w:tc>
      </w:tr>
      <w:tr>
        <w:tc>
          <w:tcPr>
            <w:tcW w:type="dxa" w:w="3331"/>
            <w:vAlign w:val="center"/>
          </w:tcPr>
          <w:p>
            <w:pPr>
              <w:spacing w:after="40"/>
            </w:pPr>
            <w:r>
              <w:rPr>
                <w:sz w:val="18"/>
              </w:rPr>
              <w:t>Demonstration</w:t>
            </w:r>
          </w:p>
        </w:tc>
        <w:tc>
          <w:tcPr>
            <w:tcW w:type="dxa" w:w="3331"/>
            <w:vAlign w:val="center"/>
          </w:tcPr>
          <w:p>
            <w:pPr>
              <w:spacing w:after="40"/>
            </w:pPr>
            <w:r>
              <w:rPr>
                <w:sz w:val="18"/>
              </w:rPr>
              <w:t>Live error and interlock display</w:t>
            </w:r>
          </w:p>
        </w:tc>
        <w:tc>
          <w:tcPr>
            <w:tcW w:type="dxa" w:w="3331"/>
            <w:vAlign w:val="center"/>
          </w:tcPr>
          <w:p>
            <w:pPr>
              <w:spacing w:after="40"/>
            </w:pPr>
            <w:r>
              <w:rPr>
                <w:sz w:val="18"/>
              </w:rPr>
              <w:t>Beam enables only inside tolerance</w:t>
            </w:r>
          </w:p>
        </w:tc>
      </w:tr>
    </w:tbl>
    <w:p>
      <w:pPr>
        <w:spacing w:after="0"/>
      </w:pPr>
    </w:p>
    <w:p>
      <w:pPr>
        <w:pStyle w:val="Heading2"/>
      </w:pPr>
      <w:r>
        <w:t>Evidence to publish with the project</w:t>
      </w:r>
    </w:p>
    <w:p>
      <w:pPr>
        <w:ind w:left="360" w:hanging="230"/>
      </w:pPr>
      <w:r>
        <w:t>• A versioned bill of materials with purchase date, supplier, measured dimensions and substitutions.</w:t>
      </w:r>
    </w:p>
    <w:p>
      <w:pPr>
        <w:ind w:left="360" w:hanging="230"/>
      </w:pPr>
      <w:r>
        <w:t>• Downloadable CAD, code and configuration files with a licence and changelog.</w:t>
      </w:r>
    </w:p>
    <w:p>
      <w:pPr>
        <w:ind w:left="360" w:hanging="230"/>
      </w:pPr>
      <w:r>
        <w:t>• A complete calibration dataset, acceptance results and at least one failed or superseded design, with the reason for changing it.</w:t>
      </w:r>
    </w:p>
    <w:p>
      <w:pPr>
        <w:ind w:left="360" w:hanging="230"/>
      </w:pPr>
      <w:r>
        <w:t>• A short demonstration video, a labelled system diagram and a plain-language explanation separate from the technical build guide.</w:t>
      </w:r>
    </w:p>
    <w:p>
      <w:pPr>
        <w:ind w:left="360" w:hanging="230"/>
      </w:pPr>
      <w:r>
        <w:t>• A prominent statement that this is an educational model and not a medical device, clinical QA system or dosimetry instrument.</w:t>
      </w:r>
    </w:p>
    <w:sectPr>
      <w:footerReference w:type="default" r:id="rId7"/>
      <w:pgSz w:w="12240" w:h="15840" w:orient="portrait"/>
      <w:pgMar w:top="1037" w:right="1123" w:bottom="1037"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6"/>
      </w:pBdr>
      <w:jc w:val="center"/>
    </w:pPr>
    <w:r>
      <w:rPr>
        <w:color w:val="7F7F7F"/>
        <w:sz w:val="17"/>
        <w:szCs w:val="17"/>
      </w:rPr>
      <w:t xml:space="preserve">Robotic arm demonstrator with camera feedback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20" w:hanging="260"/>
      </w:pPr>
    </w:lvl>
    <w:lvl w:ilvl="1" w15:tentative="1">
      <w:start w:val="1"/>
      <w:numFmt w:val="lowerLetter"/>
      <w:lvlText w:val="%2."/>
      <w:lvlJc w:val="start"/>
      <w:pPr>
        <w:ind w:left="840" w:hanging="260"/>
      </w:pPr>
    </w:lvl>
  </w:abstractNum>
  <w:abstractNum w:abstractNumId="3" w15:restartNumberingAfterBreak="0">
    <w:multiLevelType w:val="hybridMultilevel"/>
    <w:lvl w:ilvl="0" w15:tentative="1">
      <w:start w:val="1"/>
      <w:numFmt w:val="decimal"/>
      <w:lvlText w:val="%1."/>
      <w:lvlJc w:val="start"/>
      <w:pPr>
        <w:ind w:left="420" w:hanging="260"/>
      </w:pPr>
    </w:lvl>
    <w:lvl w:ilvl="1" w15:tentative="1">
      <w:start w:val="1"/>
      <w:numFmt w:val="lowerLetter"/>
      <w:lvlText w:val="%2."/>
      <w:lvlJc w:val="start"/>
      <w:pPr>
        <w:ind w:left="840" w:hanging="260"/>
      </w:pPr>
    </w:lvl>
  </w:abstractNum>
  <w:abstractNum w:abstractNumId="4" w15:restartNumberingAfterBreak="0">
    <w:multiLevelType w:val="hybridMultilevel"/>
    <w:lvl w:ilvl="0" w15:tentative="1">
      <w:start w:val="1"/>
      <w:numFmt w:val="decimal"/>
      <w:lvlText w:val="%1."/>
      <w:lvlJc w:val="start"/>
      <w:pPr>
        <w:ind w:left="420" w:hanging="260"/>
      </w:pPr>
    </w:lvl>
    <w:lvl w:ilvl="1" w15:tentative="1">
      <w:start w:val="1"/>
      <w:numFmt w:val="lowerLetter"/>
      <w:lvlText w:val="%2."/>
      <w:lvlJc w:val="start"/>
      <w:pPr>
        <w:ind w:left="840" w:hanging="260"/>
      </w:pPr>
    </w:lvl>
  </w:abstractNum>
  <w:abstractNum w:abstractNumId="5" w15:restartNumberingAfterBreak="0">
    <w:multiLevelType w:val="hybridMultilevel"/>
    <w:lvl w:ilvl="0" w15:tentative="1">
      <w:start w:val="1"/>
      <w:numFmt w:val="bullet"/>
      <w:lvlText w:val="•"/>
      <w:lvlJc w:val="start"/>
      <w:pPr>
        <w:ind w:left="420" w:hanging="260"/>
      </w:pPr>
    </w:lvl>
    <w:lvl w:ilvl="1" w15:tentative="1">
      <w:start w:val="1"/>
      <w:numFmt w:val="bullet"/>
      <w:lvlText w:val="–"/>
      <w:lvlJc w:val="start"/>
      <w:pPr>
        <w:ind w:left="840" w:hanging="260"/>
      </w:pPr>
    </w:lvl>
  </w:abstractNum>
  <w:num w:numId="1">
    <w:abstractNumId w:val="1"/>
    <w:lvlOverride w:ilvl="0">
      <w:startOverride w:val="1"/>
    </w:lvlOverride>
  </w:num>
  <w:num w:numId="2">
    <w:abstractNumId w:val="5"/>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pPr>
      <w:keepNext/>
      <w:spacing w:before="0" w:after="160"/>
    </w:pPr>
    <w:rPr>
      <w:rFonts w:ascii="Aptos Display" w:hAnsi="Aptos Display"/>
      <w:b/>
      <w:color w:val="000000"/>
      <w:sz w:val="50"/>
      <w:szCs w:val="56"/>
    </w:rPr>
  </w:style>
  <w:style w:type="paragraph" w:styleId="Heading1">
    <w:name w:val="Heading 1"/>
    <w:basedOn w:val="Normal"/>
    <w:next w:val="Normal"/>
    <w:qFormat/>
    <w:pPr>
      <w:keepNext/>
      <w:spacing w:before="240" w:after="120"/>
    </w:pPr>
    <w:rPr>
      <w:rFonts w:ascii="Aptos Display" w:cs="Calibri Light" w:eastAsia="Calibri Light" w:hAnsi="Aptos Display"/>
      <w:b/>
      <w:bCs/>
      <w:color w:val="000000"/>
      <w:sz w:val="34"/>
      <w:szCs w:val="30"/>
    </w:rPr>
  </w:style>
  <w:style w:type="paragraph" w:styleId="Heading2">
    <w:name w:val="Heading 2"/>
    <w:basedOn w:val="Normal"/>
    <w:next w:val="Normal"/>
    <w:qFormat/>
    <w:pPr>
      <w:keepNext/>
      <w:spacing w:before="240" w:after="120"/>
    </w:pPr>
    <w:rPr>
      <w:rFonts w:ascii="Aptos Display" w:cs="Calibri Light" w:eastAsia="Calibri Light" w:hAnsi="Aptos Display"/>
      <w:b/>
      <w:bCs/>
      <w:color w:val="000000"/>
      <w:sz w:val="26"/>
      <w:szCs w:val="25"/>
    </w:rPr>
  </w:style>
  <w:style w:type="paragraph" w:styleId="Heading3">
    <w:name w:val="Heading 3"/>
    <w:basedOn w:val="Normal"/>
    <w:next w:val="Normal"/>
    <w:qFormat/>
    <w:pPr>
      <w:keepNext/>
      <w:spacing w:before="240" w:after="120"/>
    </w:pPr>
    <w:rPr>
      <w:rFonts w:ascii="Aptos Display" w:cs="Calibri" w:eastAsia="Calibri" w:hAnsi="Aptos Display"/>
      <w:b/>
      <w:bCs/>
      <w:color w:val="000000"/>
      <w:sz w:val="22"/>
      <w:szCs w:val="22"/>
    </w:rPr>
  </w:style>
  <w:style w:type="paragraph" w:styleId="Heading4">
    <w:name w:val="Heading 4"/>
    <w:basedOn w:val="Normal"/>
    <w:next w:val="Normal"/>
    <w:qFormat/>
    <w:rPr>
      <w:rFonts w:ascii="Aptos" w:hAnsi="Aptos"/>
      <w:i/>
      <w:iCs/>
      <w:color w:val="2E74B5"/>
    </w:rPr>
  </w:style>
  <w:style w:type="paragraph" w:styleId="Heading5">
    <w:name w:val="Heading 5"/>
    <w:basedOn w:val="Normal"/>
    <w:next w:val="Normal"/>
    <w:qFormat/>
    <w:rPr>
      <w:rFonts w:ascii="Aptos" w:hAnsi="Aptos"/>
      <w:color w:val="2E74B5"/>
    </w:rPr>
  </w:style>
  <w:style w:type="paragraph" w:styleId="Heading6">
    <w:name w:val="Heading 6"/>
    <w:basedOn w:val="Normal"/>
    <w:next w:val="Normal"/>
    <w:qFormat/>
    <w:rPr>
      <w:rFonts w:ascii="Aptos" w:hAnsi="Aptos"/>
      <w:color w:val="1F4D78"/>
    </w:rPr>
  </w:style>
  <w:style w:type="paragraph" w:styleId="Strong">
    <w:name w:val="Strong"/>
    <w:basedOn w:val="Normal"/>
    <w:next w:val="Normal"/>
    <w:qFormat/>
    <w:rPr>
      <w:rFonts w:ascii="Aptos" w:hAnsi="Aptos"/>
      <w:b/>
      <w:bCs/>
    </w:rPr>
  </w:style>
  <w:style w:type="paragraph" w:styleId="ListParagraph">
    <w:name w:val="List Paragraph"/>
    <w:basedOn w:val="Normal"/>
    <w:qFormat/>
    <w:rPr>
      <w:rFonts w:ascii="Aptos" w:hAnsi="Aptos"/>
    </w:rPr>
  </w:style>
  <w:style w:type="character" w:styleId="Hyperlink">
    <w:name w:val="Hyperlink"/>
    <w:basedOn w:val="DefaultParagraphFont"/>
    <w:uiPriority w:val="99"/>
    <w:unhideWhenUsed/>
    <w:rPr>
      <w:rFonts w:ascii="Aptos" w:hAnsi="Aptos"/>
      <w:color w:val="0563C1"/>
      <w:u w:val="single"/>
    </w:rPr>
  </w:style>
  <w:style w:type="character" w:styleId="FootnoteReference">
    <w:name w:val="footnote reference"/>
    <w:basedOn w:val="DefaultParagraphFont"/>
    <w:uiPriority w:val="99"/>
    <w:semiHidden/>
    <w:unhideWhenUsed/>
    <w:rPr>
      <w:rFonts w:ascii="Aptos" w:hAnsi="Aptos"/>
      <w:vertAlign w:val="superscript"/>
    </w:rPr>
  </w:style>
  <w:style w:type="paragraph" w:styleId="FootnoteText">
    <w:name w:val="footnote text"/>
    <w:basedOn w:val="Normal"/>
    <w:link w:val="FootnoteTextChar"/>
    <w:uiPriority w:val="99"/>
    <w:semiHidden/>
    <w:unhideWhenUsed/>
    <w:pPr>
      <w:spacing w:after="0" w:line="240" w:lineRule="auto"/>
    </w:pPr>
    <w:rPr>
      <w:rFonts w:ascii="Aptos" w:hAnsi="Aptos"/>
      <w:sz w:val="20"/>
      <w:szCs w:val="20"/>
    </w:rPr>
  </w:style>
  <w:style w:type="character" w:styleId="FootnoteTextChar">
    <w:name w:val="Footnote Text Char"/>
    <w:basedOn w:val="DefaultParagraphFont"/>
    <w:link w:val="FootnoteText"/>
    <w:uiPriority w:val="99"/>
    <w:semiHidden/>
    <w:unhideWhenUsed/>
    <w:rPr>
      <w:rFonts w:ascii="Aptos" w:hAnsi="Aptos"/>
      <w:sz w:val="20"/>
      <w:szCs w:val="20"/>
    </w:rPr>
  </w:style>
  <w:style w:type="character" w:styleId="EndnoteReference">
    <w:name w:val="endnote reference"/>
    <w:basedOn w:val="DefaultParagraphFont"/>
    <w:uiPriority w:val="99"/>
    <w:semiHidden/>
    <w:unhideWhenUsed/>
    <w:rPr>
      <w:rFonts w:ascii="Aptos" w:hAnsi="Aptos"/>
      <w:vertAlign w:val="superscript"/>
    </w:rPr>
  </w:style>
  <w:style w:type="paragraph" w:styleId="EndnoteText">
    <w:name w:val="endnote text"/>
    <w:basedOn w:val="Normal"/>
    <w:link w:val="EndnoteTextChar"/>
    <w:uiPriority w:val="99"/>
    <w:semiHidden/>
    <w:unhideWhenUsed/>
    <w:pPr>
      <w:spacing w:after="0" w:line="240" w:lineRule="auto"/>
    </w:pPr>
    <w:rPr>
      <w:rFonts w:ascii="Aptos" w:hAnsi="Aptos"/>
      <w:sz w:val="20"/>
      <w:szCs w:val="20"/>
    </w:rPr>
  </w:style>
  <w:style w:type="character" w:styleId="EndnoteTextChar">
    <w:name w:val="Endnote Text Char"/>
    <w:basedOn w:val="DefaultParagraphFont"/>
    <w:link w:val="EndnoteText"/>
    <w:uiPriority w:val="99"/>
    <w:semiHidden/>
    <w:unhideWhenUsed/>
    <w:rPr>
      <w:rFonts w:ascii="Aptos" w:hAnsi="Aptos"/>
      <w:sz w:val="20"/>
      <w:szCs w:val="20"/>
    </w:rPr>
  </w:style>
  <w:style w:type="paragraph" w:customStyle="1" w:styleId="Normal">
    <w:name w:val="Normal"/>
    <w:pPr>
      <w:spacing w:after="120" w:line="259" w:lineRule="auto"/>
    </w:pPr>
    <w:rPr>
      <w:rFonts w:ascii="Aptos" w:hAnsi="Aptos"/>
      <w:color w:val="20323A"/>
      <w:sz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2eb1716c83d36cff8a9062100456e8c46dae6f9.png"/><Relationship Id="rId9" Type="http://schemas.openxmlformats.org/officeDocument/2006/relationships/image" Target="media/f5abc802021eddedbe1660727e3d3c6ebc0c2b73.png"/><Relationship Id="rId10"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 arm demonstrator with camera feedback</dc:title>
  <dc:creator>Claude</dc:creator>
  <cp:lastModifiedBy>Un-named</cp:lastModifiedBy>
  <cp:revision>1</cp:revision>
  <dcterms:created xsi:type="dcterms:W3CDTF">2026-09-20T11:46:53.040Z</dcterms:created>
  <dcterms:modified xsi:type="dcterms:W3CDTF">2026-09-20T11:46:53.040Z</dcterms:modified>
</cp:coreProperties>
</file>

<file path=docProps/custom.xml><?xml version="1.0" encoding="utf-8"?>
<Properties xmlns="http://schemas.openxmlformats.org/officeDocument/2006/custom-properties" xmlns:vt="http://schemas.openxmlformats.org/officeDocument/2006/docPropsVTypes"/>
</file>